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346-29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6 статьи 34629 части второй Налогового кодекса Российской Федерации (Собрание законодательства Российской Федерации, 2000, № 32, ст. 3340; 2002, № 30, ст. 3021; 2003, № 1, ст. 6; 2004, № 30, ст. 3083, 3084; № 31, ст. 3231) изменения, дополнив его абзацами следующего содержания: "Корректирующий коэффициент К2 определяется как произведение установленных нормативными правовыми актами представительных органов муниципальных районов, городских округов, законами городов федерального значения Москвы и Санкт-Петербурга значений, учитывающих влияние на результат предпринимательской деятельности факторов, предусмотренных статьей 34627 настоящего Кодекса. (Абзац утратил силу - Федеральный закон от 22.07.2008 № 155-ФЗ)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2006 года, но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