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Ивановской области</w:t>
      </w:r>
    </w:p>
    <w:p>
      <w:r>
        <w:rPr>
          <w:b/>
        </w:rPr>
        <w:t>Статья 1</w:t>
      </w:r>
    </w:p>
    <w:p>
      <w:r>
        <w:t>В соответствии со статьями 17 и 36 Федерального конституционного закона от 31 декабря 1996 года № 1-ФКЗ "О судебной системе Российской Федерации"</w:t>
      </w:r>
    </w:p>
    <w:p>
      <w:r>
        <w:t>Тейковский городской суд Ивановской области считать Тейковским районным судом Ивановской области</w:t>
      </w:r>
    </w:p>
    <w:p>
      <w:r>
        <w:t>упразднить Верхнеландеховский районный суд Ивановской области, передав относящиеся к его ведению вопросы осуществления правосудия в юрисдикцию Пестяковского районного суда Ивановской области</w:t>
      </w:r>
    </w:p>
    <w:p>
      <w:r>
        <w:t>упразднить Ильинский районный суд Ивановской области, передав относящиеся к его ведению вопросы осуществления правосудия в юрисдикцию Тейковского районного суда Ивановской области</w:t>
      </w:r>
    </w:p>
    <w:p>
      <w:r>
        <w:t>упразднить Лухский районный суд Ивановской области, передав относящиеся к его ведению вопросы осуществления правосудия в юрисдикцию Палехского районного суда Ивановской области</w:t>
      </w:r>
    </w:p>
    <w:p>
      <w:r>
        <w:t>установить, что юрисдикция Пестяковского, Палехского и Тейковского районных судов Ивановской области распространяется на территории следующих административно-территориальных образований Ивановской области в границах, существующих на момент вступления в силу настоящего Федерального закона: Пестяковского районного суда - на территории Верхнеландеховского и Пестяковского районов; Палехского районного суда - на территории Лухского и Палехского районов; Тейковского районного суда - на территории Ильинского и Тейковского районов и города Тейкова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Верхнеландеховского, Ильинского и Лухского районных судов Ивановской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пунктов 2, 3, 4 и 5 статьи 1 настоящего Федерального закона</w:t>
      </w:r>
    </w:p>
    <w:p>
      <w:r>
        <w:rPr>
          <w:b/>
        </w:rPr>
        <w:t xml:space="preserve">2. </w:t>
      </w:r>
      <w:r>
        <w:t>Пункты 2, 3, 4 и 5 статьи 1 настоящего Федерального закона вступают в силу по истечении одного года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