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2002, № 22, ст. 2026; 2004, № 34, ст. 3535; 2005, № 27, ст. 2717) следующие изменения</w:t>
      </w:r>
    </w:p>
    <w:p>
      <w:r>
        <w:t>пункт 1 статьи 46 изложить в следующей редакции: "1. Штрафы подлежат зачислению в бюджеты городских округов и муниципальных районов, городов федерального значения Москвы и Санкт-Петербурга по месту нахождения органа или должностного лица, принявшего решение о наложении штрафа, если иное не предусмотрено настоящим Кодексом и другими законодательными актами Российской Федерации."</w:t>
      </w:r>
    </w:p>
    <w:p>
      <w:r>
        <w:t>(Утратил силу - Федеральный закон от 30.12.2008 № 310-ФЗ) 3) (Утратил силу - Федеральный закон от 27.12.2009 № 374-ФЗ) 4) пункт 5 статьи 53 признать утратившим силу</w:t>
      </w:r>
    </w:p>
    <w:p>
      <w:r>
        <w:t>в пункте 2 статьи 56: абзац восьмой после слов "автомобильный бензин," дополнить словами "включая прямогонный бензин,"; дополнить абзацами следующего содержания: "за действия уполномоченных органов, связанные с лицензированием заготовки, переработки и реализации лома цветных металлов, с лицензированием заготовки, переработки и реализации лома черных металлов. Зачисление в бюджеты субъектов Российской Федерации налоговых доходов от уплаты акцизов на алкогольную продукцию с объемной долей этилового спирта свыше 9 до 25 процентов включительно (за исключением вин) и алкогольную продукцию с объемной долей этилового спирта свыше 25 процентов (за исключением вин), производимую на территории Российской Федерации, осуществляется по следующим нормативам: 20 процентов указанных доходов зачисляется в бюджет субъекта Российской Федерации по месту производства алкогольной продукции; 80 процентов указанных доходов распределяется между бюджетами субъектов Российской Федерации по нормативам, утверждаемым федеральным законом о федеральном бюджете."</w:t>
      </w:r>
    </w:p>
    <w:p>
      <w:r>
        <w:t>(Утратил силу - Федеральный закон от 26.04.2007 № 63-ФЗ) 7) пункт 4 статьи 59 признать утратившим силу</w:t>
      </w:r>
    </w:p>
    <w:p>
      <w:r>
        <w:t>статью 62 изложить в следующей редакции: "Статья 62. Неналоговые доходы местных бюджетов Неналоговые доходы местных бюджетов учитываются и формируются в соответствии со статьями 41 - 46 настоящего Кодекса, в том числе за счет части прибыли муниципальных унитарных предприятий, остающейся после уплаты налогов и иных обязательных платежей, в размерах, устанавливаемых правовыми актами органов местного самоуправления. 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процентов. В бюджеты городских округов и муниципальных районов, городов федерального значения Москвы и Санкт-Петербурга подлежат зачислению сборы за выдачу лицензий на розничную продажу алкогольной продукции, выдаваемых органами местного самоуправления, по нормативу 100 процентов. В бюджеты поселений, городских округов до разграничения государственной собственности на землю поступают доходы от продажи и передачи в аренду находящихся в государственной собственности земельных участков, расположенных в границах поселений, городских округов и предназначенных для целей жилищного строительства, по нормативу 100 процентов. В бюджеты муниципальных районов до разграничения государственной собственности на землю поступают доходы от продажи и передачи в аренду находящихся в государственной собственности земельных участков, расположенных на межселенных территориях и предназначенных для целей жилищного строительства, по нормативу 100 процентов."</w:t>
      </w:r>
    </w:p>
    <w:p>
      <w:r>
        <w:t>пункт 4 статьи 64 признать утратившим силу</w:t>
      </w:r>
    </w:p>
    <w:p>
      <w:r>
        <w:rPr>
          <w:b/>
        </w:rPr>
        <w:t>Статья 2</w:t>
      </w:r>
    </w:p>
    <w:p>
      <w:r>
        <w:t>Пункт 21 статьи 1 Федерального закона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33, ст. 3535) исключить.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2006 года,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