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VI Закона Российской Федерации "О зерне", Федеральный закон "О государственном контроле за качеством и рациональным использованием зерна и продуктов его переработки"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(Утратила силу - Федеральный закон от 18.07.2011 № 242-ФЗ)</w:t>
      </w:r>
    </w:p>
    <w:p>
      <w:r>
        <w:rPr>
          <w:b/>
        </w:rPr>
        <w:t>Статья 2</w:t>
      </w:r>
    </w:p>
    <w:p>
      <w:r>
        <w:t>(Утратила силу - Федеральный закон от 19.07.2011 № 248-ФЗ)</w:t>
      </w:r>
    </w:p>
    <w:p>
      <w:r>
        <w:rPr>
          <w:b/>
        </w:rPr>
        <w:t>Статья 3</w:t>
      </w:r>
    </w:p>
    <w:p>
      <w:r>
        <w:t>(Утратила силу - Федеральный закон от 28.12.2009 № 380-ФЗ)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