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социально-бытовом обслуживании моряков в море и порту (Конвенции № 163)</w:t>
      </w:r>
    </w:p>
    <w:p>
      <w:r>
        <w:rPr>
          <w:b/>
        </w:rPr>
        <w:t>Статья None. Федеральный закон   от 03.07.2006 № 95-ФЗ</w:t>
      </w:r>
    </w:p>
    <w:p>
      <w:r>
        <w:t>О ратификации Конвенции о социально-бытовом обслуживании моряков в море и порту (Конвенции № 163) РОССИЙСКАЯ ФЕДЕРАЦИЯ ФЕДЕРАЛЬНЫЙ ЗАКОН О ратификации Конвенции о социально-бытовом обслуживании моряков в море и порту (Конвенции № 163) Принят Государственной Думой 9 июня 2006 года Одобрен Советом Федерации 23 июня 2006 года Ратифицировать Конвенцию о социально-бытовом обслуживании моряков в море и порту (Конвенцию № 163), принятую на 74-й сессии Генеральной конференции Международной организации труда в городе Женеве 8 октября 1987 года. Президент Российской Федерации В.Путин Москва, Кремль 3 июля 2006 года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