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346-2 части второй Налогового кодекса Российской Федерации</w:t>
      </w:r>
    </w:p>
    <w:p>
      <w:r>
        <w:rPr>
          <w:b/>
        </w:rPr>
        <w:t>Статья 1</w:t>
      </w:r>
    </w:p>
    <w:p>
      <w:r>
        <w:t>Внести в статью 3462 части второй Налогового кодекса Российской Федерации (Собрание законодательства Российской Федерации, 2000, № 32, ст. 3340; 2001, № 53, ст. 5023; 2003, № 46, ст. 4443; 2005, № 27, ст. 2707; 2006, № 12, ст. 1233) изменение, изложив ее в следующей редакции: "Статья 3462. Налогоплательщики 1. Налогоплательщиками единого сельскохозяйственного налога (далее в настоящей главе - налогоплательщики) признаются организации и индивидуальные предприниматели, являющиеся сельскохозяйственными товаропроизводителями и перешедшие на уплату единого сельскохозяйственного налога в порядке, установленном настоящей главой.</w:t>
      </w:r>
    </w:p>
    <w:p>
      <w:r>
        <w:rPr>
          <w:b/>
        </w:rPr>
        <w:t xml:space="preserve">2. </w:t>
      </w:r>
      <w:r>
        <w:t>В целях настоящей главы сельскохозяйственными товаропроизводителями признаются организации и индивидуальные предприниматели, производящие сельскохозяйственную продукцию, осуществляющие ее первичную и последующую (промышленную) переработку (в том числе на арендованных основных средствах) и реализующие эту продукцию, при условии, что в общем доходе от реализации товаров (работ, услуг) таких организаций и индивидуальных предпринимателей доля дохода от реализации произведенной ими сельскохозяйственной продукции, включая продукцию ее первичной переработки, произведенную ими из сельскохозяйственного сырья собственного производства, составляет не менее 70 процентов, а также сельскохозяйственные потребительские кооперативы (перерабатывающие, сбытовые (торговые), снабженческие, садоводческие, огороднические, животноводческие), признаваемые таковыми в соответствии с Федеральным законом "О сельскохозяйственной кооперации", у которых доля доходов от реализации сельскохозяйственной продукции собственного производства членов данных кооперативов, а также от выполненных работ (услуг) для членов данных кооперативов составляет в общем объеме доходов не менее 70 процентов. В целях настоящей главы к сельскохозяйственным товаропроизводителям относятся также градо- и поселкообразующие российские рыбохозяйственные организации, численность работающих в которых с учетом совместно проживающих с ними членов семей составляет не менее половины численности населения соответствующего населенного пункта, которые эксплуатируют только находящиеся у них на праве собственности рыбопромысловые суда, зарегистрированы в качестве юридического лица в соответствии с законодательством Российской Федерации и у которых объем реализованной ими рыбной продукции и (или) выловленных объектов водных биологических ресурсов составляет в стоимостном выражении более 70 процентов общего объема реализуемой ими продукции. Для организаций и индивидуальных предпринимателей, осуществляющих последующую (промышленную) переработку продукции первичной переработки, произведенной ими из сельскохозяйственного сырья собственного производства, доля дохода от реализации продукции первичной переработки, произведенной ими из сельскохозяйственного сырья собственного производства, в общем доходе от реализации произведенной ими продукции из сельскохозяйственного сырья собственного производства определяется исходя из соотношения расходов на производство сельскохозяйственной продукции и первичную переработку сельскохозяйственной продукции в общей сумме расходов на производство продукции из произведенного ими сельскохозяйственного сырья</w:t>
      </w:r>
    </w:p>
    <w:p>
      <w:r>
        <w:rPr>
          <w:b/>
        </w:rPr>
        <w:t xml:space="preserve">3. </w:t>
      </w:r>
      <w:r>
        <w:t>В целях настоящей главы к сельскохозяйственной продукции относятся продукция растениеводства сельского и лесного хозяйства и продукция животноводства (в том числе полученная в результате выращивания и доращивания рыб и других водных биологических ресурсов), конкретные виды которых определяются Правительством Российской Федерации в соответствии с Общероссийским классификатором продукции. При этом к сельскохозяйственной продукции не относится вылов рыбы и других водных биологических ресурсов, за исключением вылова рыбы и других водных биологических ресурсов градо- и поселкообразующих российских рыбохозяйственных организаций, указанных в абзаце втором пункта 2 настоящей статьи</w:t>
      </w:r>
    </w:p>
    <w:p>
      <w:r>
        <w:rPr>
          <w:b/>
        </w:rPr>
        <w:t xml:space="preserve">4. </w:t>
      </w:r>
      <w:r>
        <w:t>Порядок отнесения продукции к продукции первичной переработки, произведенной из сельскохозяйственного сырья собственного производства, устанавливается Правительством Российской Федерации</w:t>
      </w:r>
    </w:p>
    <w:p>
      <w:r>
        <w:rPr>
          <w:b/>
        </w:rPr>
        <w:t xml:space="preserve">5. </w:t>
      </w:r>
      <w:r>
        <w:t>Сельскохозяйственные товаропроизводители имеют право перейти на уплату единого сельскохозяйственного налога, если по итогам работы за календарный год, предшествующий году, в котором организация или индивидуальный предприниматель подают заявление о переходе на уплату единого сельскохозяйственного налога, в общем доходе от реализации товаров (работ, услуг) таких организаций или индивидуальных предпринимателей доля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составляет не менее 70 процентов. Вновь созданная в текущем году организация, являющаяся сельскохозяйственным товаропроизводителем, вправе перейти с начала следующего года на уплату единого сельскохозяйственного налога, если по итогам последнего отчетного периода по налогу на прибыль организаций (последнего отчетного периода по налогу, уплачиваемому в рамках упрощенной системы налогообложения в соответствии с главой 262 настоящего Кодекса) в текущем году в общем доходе от реализации товаров (работ, услуг) такой организации доля дохода от реализации произведенной ею сельскохозяйственной продукции, включая продукцию первичной переработки, произведенную ею из сельскохозяйственного сырья собственного производства, составляет не менее 70 процентов. Вновь зарегистрированный в текущем году индивидуальный предприниматель, являющийся сельскохозяйственным товаропроизводителем, вправе перейти с начала следующего года на уплату единого сельскохозяйственного налога, если по итогам девяти месяцев текущего года в общем доходе от предпринимательской деятельности такого индивидуального предпринимателя доля дохода от реализации произведенной им сельскохозяйственной продукции, включая продукцию первичной переработки, произведенную им из сельскохозяйственного сырья собственного производства, составляет не менее 70 процентов. В целях настоящего пункта доходы от реализации определяются в порядке, предусмотренном статьей 249 настоящего Кодекса, доходы, указанные в статье 251 настоящего Кодекса, не учитываются</w:t>
      </w:r>
    </w:p>
    <w:p>
      <w:r>
        <w:rPr>
          <w:b/>
        </w:rPr>
        <w:t xml:space="preserve">6. </w:t>
      </w:r>
      <w:r>
        <w:t>Не вправе переходить на уплату единого сельскохозяйственного налога: (Абзац утратил силу - Федеральный закон от 22.07.2008 № 155-ФЗ) 2) организации и индивидуальные предприниматели, занимающиеся производством подакцизных товаров;</w:t>
      </w:r>
    </w:p>
    <w:p>
      <w:r>
        <w:rPr>
          <w:b/>
        </w:rPr>
        <w:t xml:space="preserve">7. </w:t>
      </w:r>
      <w:r>
        <w:t>Организации и индивидуальные предприниматели, переведенные в соответствии с главой 263 настоящего Кодекса на уплату единого налога на вмененный доход для отдельных видов деятельности по одному или нескольким видам предпринимательской деятельности, вправе перейти на уплату единого сельскохозяйственного налога в отношении иных осуществляемых ими видов предпринимательской деятельности. При этом ограничения, установленные пунктом 5 настоящей статьи, по объему дохода от реализации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определяются исходя из всех осуществляемых этими организациями и индивидуальными предпринимателями видов деятельности. При этом в отношении реализации налогоплательщиками единого сельскохозяйственного налога произведенной ими сельскохозяйственной продукции, включая продукцию первичной переработки, произведенную ими из сельскохозяйственного сырья собственного производства, через свои магазины, торговые точки, столовые и полевые кухни система налогообложения в виде единого налога на вмененный доход для отдельных видов деятельности в соответствии с главой 263 настоящего Кодекса не применяется."</w:t>
      </w:r>
    </w:p>
    <w:p>
      <w:r>
        <w:rPr>
          <w:b/>
        </w:rPr>
        <w:t xml:space="preserve">6. </w:t>
      </w:r>
      <w:r>
        <w:t>организации и индивидуальные предприниматели, осуществляющие предпринимательскую деятельность в сфере игорного бизнеса</w:t>
      </w:r>
    </w:p>
    <w:p>
      <w:r>
        <w:rPr>
          <w:b/>
        </w:rPr>
        <w:t xml:space="preserve">6. </w:t>
      </w:r>
      <w:r>
        <w:t>бюджетные учреждения</w:t>
      </w:r>
    </w:p>
    <w:p>
      <w:r>
        <w:rPr>
          <w:b/>
        </w:rPr>
        <w:t>Статья 2</w:t>
      </w:r>
    </w:p>
    <w:p>
      <w:r>
        <w:t>Пункт 2 статьи 1 Федерального закона от 13 марта 2006 года № 39-ФЗ "О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2006, № 12, ст. 1233) исключить.</w:t>
      </w:r>
    </w:p>
    <w:p>
      <w:r>
        <w:rPr>
          <w:b/>
        </w:rPr>
        <w:t>Статья 3</w:t>
      </w:r>
    </w:p>
    <w:p>
      <w:r>
        <w:rPr>
          <w:b/>
        </w:rPr>
        <w:t xml:space="preserve">1. </w:t>
      </w:r>
      <w:r>
        <w:t>Настоящий Федеральный закон вступает в силу с 1 января 2007 года, но не ранее чем по истечении одного месяца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