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149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подпункт 1 пункта 3 статьи 149 части второй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28, ст. 2886; 2004, № 27, ст. 2711; № 34, ст. 3524; № 45, ст. 4377; 2005, № 30, ст. 3130; 2006, № 10, ст. 1065; № 31, ст. 3436) изменение, заменив слова "производимых и реализуемых религиозными организациями (объединениями), организациями, находящимися в собственности религиозных организаций (объединений), и хозяйственными обществами, уставный (складочный) капитал которых состоит полностью из вклада религиозных организаций (объединений)," словами "производимых религиозными организациями (объединениями) и организациями, единственными учредителями (участниками) которых являются религиозные организации (объединения), и реализуемых данными или иными религиозными организациями (объединениями) и организациями, единственными учредителями (участниками) которых являются религиозные организации (объединения),".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2007 года, но не ранее чем по истечении одного месяца со дня его официального опубликования и не ранее 1-го числа очередного налогового периода по налогу на добавленную стоимость.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