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Российской Федерацией действия Договора об обычных вооруженных силах в Европе</w:t>
      </w:r>
    </w:p>
    <w:p>
      <w:r>
        <w:rPr>
          <w:b/>
        </w:rPr>
        <w:t>Статья 1</w:t>
      </w:r>
    </w:p>
    <w:p>
      <w:r>
        <w:t>Приостановить действие Договора об обычных вооруженных силах в Европе, подписанного в городе Париже 19 ноября 1990 года.</w:t>
      </w:r>
    </w:p>
    <w:p>
      <w:r>
        <w:rPr>
          <w:b/>
        </w:rPr>
        <w:t>Статья 2</w:t>
      </w:r>
    </w:p>
    <w:p>
      <w:r>
        <w:t>Решение о возобновлении Российской Федерацией действия Договора об обычных вооруженных силах в Европе принимается Президентом Российской Федерации.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