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256 части второй Налогового кодекса Российской Федерации и признании утратившими силу отдельных положений законодательных актов Российской Федерации о налогах и сборах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подпункт 5 пункта 2 статьи 256 части второй Налогового кодекса Российской Федерации (Собрание законодательства Российской Федерации, 2000, № 32, ст. 3340; 2001, № 33, ст. 3413)</w:t>
      </w:r>
    </w:p>
    <w:p>
      <w:r>
        <w:t>абзац двести девятый пункта 14 статьи 1 Федерального закона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</w:p>
    <w:p>
      <w:r>
        <w:rPr>
          <w:b/>
        </w:rPr>
        <w:t xml:space="preserve">2. </w:t>
      </w:r>
      <w:r>
        <w:t>Положения пункта 2 статьи 256 Налогового кодекса Российской Федерации (в редакции настоящего Федерального закона) распространяют свое действие на правоотношения, возникшие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