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Закона Российской Федерации "О таможенном тарифе"</w:t>
      </w:r>
    </w:p>
    <w:p>
      <w:r>
        <w:rPr>
          <w:b/>
        </w:rPr>
        <w:t>Статья 1</w:t>
      </w:r>
    </w:p>
    <w:p>
      <w:r>
        <w:t>(Утратила силу - Федеральный закон от 03.12.2012 № 239-ФЗ)</w:t>
      </w:r>
    </w:p>
    <w:p>
      <w:r>
        <w:rPr>
          <w:b/>
        </w:rPr>
        <w:t>Статья 2</w:t>
      </w:r>
    </w:p>
    <w:p>
      <w:r>
        <w:t>Абзац шестой статьи 1 Федерального закона от 27 июля 2006 года № 145-ФЗ "О внесении изменения в статью 3 Закона Российской Федерации "О таможенном тарифе" (Собрание законодательства Российской Федерации, 2006, № 31, ст. 3444)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