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154 и 164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45, ст. 4377; 2005, № 30, ст. 3128, 3130; № 52, ст. 5581; 2006, № 10, ст. 1065; 2007, № 23, ст. 2691; № 45, ст. 5432; № 49, ст. 6045) следующие изменения</w:t>
      </w:r>
    </w:p>
    <w:p>
      <w:r>
        <w:t>статью 154 дополнить пунктом 51 следующего содержания: "51. При реализации автомобилей, приобретенных у физических лиц (не являющихся налогоплательщиками) для перепродажи, налоговая база определяется как разница между ценой, определяемой в соответствии со статьей 40 настоящего Кодекса, с учетом налога и ценой приобретения указанных автомобилей."</w:t>
      </w:r>
    </w:p>
    <w:p>
      <w:r>
        <w:t>в пункте 4 статьи 164 слова "в соответствии с пунктом 4 статьи 154 настоящего Кодекса" заменить словами "в соответствии с пунктом 4 статьи 154 настоящего Кодекса, при реализации автомобилей в соответствии с пунктом 51 статьи 154 настоящего Кодекса"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