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2, 6; № 28, ст. 2886; № 52, ст. 5030; 2004, № 27, ст. 2711; № 34, ст. 3520, 3524; № 45, ст. 4377; 2005, № 1, ст. 30; № 24, ст. 2312; № 30, ст. 3130; № 52, ст. 5581; 2006, № 10, ст. 1065; № 31, ст. 3436, 3443; № 45, ст. 4627, 4628; № 50, ст. 5279; 2007, № 1, ст. 39; № 22, ст. 2563; № 23, ст. 2691; № 31, ст. 3991, 4013; № 45, ст. 5417; № 49, ст. 6045, 6071; № 50, ст. 6237, 6245; 2008, № 27, ст. 3126; № 30, ст. 3614, 3616; № 48, ст. 5504, 5519; Российская газета, 2008, 2 декабря) следующие изменения</w:t>
      </w:r>
    </w:p>
    <w:p>
      <w:r>
        <w:t>подпункт 7 пункта 3 статьи 149 дополнить абзацем следующего содержания: "средства, полученные страховщиком по заключенному в соответствии с законодательством Российской Федерации об обязательном страховании гражданской ответственности владельцев транспортных средств соглашению о прямом возмещении убытков от страховщика, который застраховал гражданскую ответственность лица, причинившего вред;"</w:t>
      </w:r>
    </w:p>
    <w:p>
      <w:r>
        <w:t>пункт 1 статьи 251 дополнить подпунктом 39 следующего содержания: "39) денежные средства, полученные страховщиком, осуществившим прямое возмещение убытков потерпевшему в соответствии с законодательством Российской Федерации об обязательном страховании гражданской ответственности владельцев транспортных средств, от страховщика, который застраховал гражданскую ответственность лица, причинившего вред имуществу потерпевшего."</w:t>
      </w:r>
    </w:p>
    <w:p>
      <w:r>
        <w:t>статью 270 дополнить пунктом 4810 следующего содержания: "4810) в виде выплат потерпевшему, осуществленных в порядке прямого возмещения убытков в соответствии с законодательством Российской Федерации об обязательном страховании гражданской ответственности владельцев транспортных средств страховщиком, который застраховал гражданскую ответственность потерпевшего;"</w:t>
      </w:r>
    </w:p>
    <w:p>
      <w:r>
        <w:t>абзац пятый подпункта 9 пункта 2 статьи 294 изложить в следующей редакции: "услуг специалистов (в том числе экспертов, оценщиков, сюрвейеров, аварийных комиссаров, юристов), привлекаемых для оценки страхового риска, определения страховой стоимости имущества и размера страховой выплаты, оценки последствий страховых случаев, урегулирования страховых выплат, а также при осуществлении прямого возмещения убытков потерпевшим в соответствии с законодательством Российской Федерации об обязательном страховании гражданской ответственности владельцев транспортных средств;"</w:t>
      </w:r>
    </w:p>
    <w:p>
      <w:r>
        <w:t>статью 330 дополнить частью девятой следующего содержания: "Страховые выплаты по договору обязательного страхования гражданской ответственности владельцев транспортных средств, осуществленные от имени налогоплательщика - страховой организации другим страховщиком - участником соглашения о прямом возмещении убытков в соответствии с законодательством Российской Федерации об обязательном страховании гражданской ответственности владельцев транспортных средств, включаются в состав расходов на дату поступления от страховщика, осуществившего прямое возмещение убытков, требования об оплате возмещенного им вреда потерпевшему."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2009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