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149 и 162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3598) следующие изменения</w:t>
      </w:r>
    </w:p>
    <w:p>
      <w:r>
        <w:t>пункт 3 статьи 149 дополнить подпунктами 29 и 30 следующего содержания: "29) реализация коммунальных услуг, предоставляемых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 услуги, при условии приобретения коммунальных услуг указанными налогоплательщиками у организаций коммунального комплекса, поставщиков электрической энергии и газоснабжающих организаций</w:t>
      </w:r>
    </w:p>
    <w:p>
      <w:r>
        <w:t>реализация работ (услуг) по содержанию и ремонту общего имущества в многоквартирном доме, выполняемых (оказываемых)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 услуги, при условии приобретения работ (услуг) по содержанию и ремонту общего имущества в многоквартирном доме указанными налогоплательщиками у организаций и индивидуальных предпринимателей, непосредственно выполняющих (оказывающих) данные работы (услуги)."</w:t>
      </w:r>
    </w:p>
    <w:p>
      <w:r>
        <w:t>статью 162 дополнить пунктом 3 следующего содержания: "3. В налоговую базу не включаются денежные средства, полученные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 услуги, на формирование резерва на проведение текущего и капитального ремонта общего имущества в многоквартирном доме."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2010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