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Признать утратившими силу</w:t>
      </w:r>
    </w:p>
    <w:p>
      <w:r>
        <w:t>подпункт 12 пункта 2 статьи 17 и подпункт 5 пункта 2 статьи 18 Федерального закона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3803)</w:t>
      </w:r>
    </w:p>
    <w:p>
      <w:r>
        <w:t>пункт 2 статьи 1 Федерального закона от 29 декабря 2006 года № 259-ФЗ "О внесении изменений в статьи 11 и 18 Федерального закона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2007, № 1, ст. 22)</w:t>
      </w:r>
    </w:p>
    <w:p>
      <w:r>
        <w:t>подпункт "б" пункта 2 статьи 59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