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59 Уголовного кодекса Российской Федерации и Уголовно-процессуальный кодекс Российской Федерации</w:t>
      </w:r>
    </w:p>
    <w:p>
      <w:r>
        <w:rPr>
          <w:b/>
        </w:rPr>
        <w:t>Статья 1</w:t>
      </w:r>
    </w:p>
    <w:p>
      <w:r>
        <w:t>Статью 59 Уголовного кодекса Российской Федерации (Собрание законодательства Российской Федерации, 1996, № 25, ст. 2954) дополнить частью второй1 следующего содержания: "21. Смертная казнь не назначается лицу, выданному Российской Федерации иностранным государством для уголовного преследования в соответствии с международным договором Российской Федерации или на основе принципа взаимности, если в соответствии с законодательством иностранного государства, выдавшего лицо, смертная казнь за совершенное этим лицом преступление не предусмотрена или неприменение смертной казни является условием выдачи либо смертная казнь не может быть ему назначена по иным основаниям.".</w:t>
      </w:r>
    </w:p>
    <w:p>
      <w:r>
        <w:rPr>
          <w:b/>
        </w:rPr>
        <w:t>Статья 2</w:t>
      </w:r>
    </w:p>
    <w:p>
      <w:r>
        <w:t>Внести в Уголовно-процессуальный кодекс Российской Федерации (Собрание законодательства Российской Федерации, 2001, № 52, ст. 4921; 2003, № 27, ст. 2706; 2004, № 17, ст. 1585; 2007, № 24, ст. 2830) следующие изменения: 1) часть вторую статьи 97 дополнить словами "или возможной выдачи лица в порядке, предусмотренном статьей 466 настоящего Кодекса"; 2) дополнить статьей 4621 следующего содержания: "Статья 4621. Транзитная перевозка выданных лиц 1. Российская Федерация в соответствии с международным договором Российской Федерации или на основе принципа взаимности может по соответствующему запросу разрешить иностранному государству осуществить транзитную перевозку по территории Российской Федерации лица, выданного третьим государством для уголовного преследования или исполнения приговора.</w:t>
      </w:r>
    </w:p>
    <w:p>
      <w:r>
        <w:rPr>
          <w:b/>
        </w:rPr>
        <w:t xml:space="preserve">2. </w:t>
      </w:r>
      <w:r>
        <w:t>Решение по запросу о транзитной перевозке лица по территории Российской Федерации принимает Генеральный прокурор Российской Федерации или его заместитель</w:t>
      </w:r>
    </w:p>
    <w:p>
      <w:r>
        <w:rPr>
          <w:b/>
        </w:rPr>
        <w:t xml:space="preserve">3. </w:t>
      </w:r>
      <w:r>
        <w:t>Основанием для содержания под стражей лица при транзитной перевозке по территории Российской Федерации являются разрешение Генерального прокурора Российской Федерации или его заместителя на транзитную перевозку и решение судебного либо иного компетентного органа иностранного государства о заключении выданного лица под стражу</w:t>
      </w:r>
    </w:p>
    <w:p>
      <w:r>
        <w:rPr>
          <w:b/>
        </w:rPr>
        <w:t xml:space="preserve">4. </w:t>
      </w:r>
      <w:r>
        <w:t>В разрешении на транзитную перевозку по территории Российской Федерации может быть отказано при наличии оснований, предусмотренных статьей 464 настоящего Кодекса</w:t>
      </w:r>
    </w:p>
    <w:p>
      <w:r>
        <w:rPr>
          <w:b/>
        </w:rPr>
        <w:t xml:space="preserve">5. </w:t>
      </w:r>
      <w:r>
        <w:t>При транзитной перевозке воздушным путем разрешение на ее осуществление требуется только в случае промежуточной посадки воздушного судна на территории Российской Федерации. В этом случае запрос о транзитной перевозке лица по территории Российской Федерации рассматривается в общем порядке.";</w:t>
      </w:r>
    </w:p>
    <w:p>
      <w:r>
        <w:rPr>
          <w:b/>
        </w:rPr>
        <w:t xml:space="preserve">5. </w:t>
      </w:r>
      <w:r>
        <w:t>в статье 464:</w:t>
      </w:r>
    </w:p>
    <w:p>
      <w:r>
        <w:rPr>
          <w:b/>
        </w:rPr>
        <w:t xml:space="preserve">5. </w:t>
      </w:r>
      <w:r>
        <w:t>часть первую дополнить пунктом 6 следующего содержания: "6) деяние, послужившее основанием для запроса иностранного государства о выдаче, в соответствии с уголовным законодательством Российской Федерации не является преступлением."</w:t>
      </w:r>
    </w:p>
    <w:p>
      <w:r>
        <w:rPr>
          <w:b/>
        </w:rPr>
        <w:t xml:space="preserve">5. </w:t>
      </w:r>
      <w:r>
        <w:t>пункт 1 части второй признать утратившим силу</w:t>
      </w:r>
    </w:p>
    <w:p>
      <w:r>
        <w:rPr>
          <w:b/>
        </w:rPr>
        <w:t>Статья 3</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