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31 и 35 Уголовно-процессуального кодекса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25, ст. 4921; 2002, № 22, ст. 2027; 2003, № 27, ст. 2706; № 50, ст. 4847; 2005, № 23, ст. 2200; 2009, № 1, ст. 29) следующие изменения: 1) в статье 31: а) часть шестую изложить в следующей редакции: "6. Окружному (флотскому) военному суду подсудны уголовные дела, указанные в части третьей настоящей статьи, в отношении военнослужащих и граждан, проходящих военные сборы, а также уголовные дела, переданные в указанный суд в соответствии с частями четвертой - седьмой статьи 35 настоящего Кодекса."; б) часть седьмую признать утратившей силу; в) часть восьмую изложить в следующей редакции: "8.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законом, руководствуются настоящим Кодексом."; 2) статью 35 дополнить частями четвертой - седьмой следующего содержания: "4.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205, 2051, 2052, 206, 208, 209, 211, 277-279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w:t>
      </w:r>
    </w:p>
    <w:p>
      <w:r>
        <w:rPr>
          <w:b/>
        </w:rPr>
        <w:t xml:space="preserve">5. </w:t>
      </w:r>
      <w:r>
        <w:t>Вопрос об изменении территориальной подсудности уголовного дела по основаниям, указанным в части четвертой настоящей статьи, разрешается коллегией, состоящей из трех судей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r>
        <w:rPr>
          <w:b/>
        </w:rPr>
        <w:t xml:space="preserve">6. </w:t>
      </w:r>
      <w:r>
        <w:t>В начале заседания председательствующий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r>
        <w:rPr>
          <w:b/>
        </w:rPr>
        <w:t xml:space="preserve">7. </w:t>
      </w:r>
      <w:r>
        <w:t>По результатам рассмотрения ходатайства коллегия выносит одно из следующих постановлений</w:t>
      </w:r>
    </w:p>
    <w:p>
      <w:r>
        <w:rPr>
          <w:b/>
        </w:rPr>
        <w:t xml:space="preserve">7. </w:t>
      </w:r>
      <w:r>
        <w:t>об удовлетворении ходатайства и направлении уголовного дела для рассмотрения в соответствующий окружной (флотский) военный суд</w:t>
      </w:r>
    </w:p>
    <w:p>
      <w:r>
        <w:rPr>
          <w:b/>
        </w:rPr>
        <w:t xml:space="preserve">7. </w:t>
      </w:r>
      <w:r>
        <w:t>об отказе в удовлетворении ходатайства."</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