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некоторых районных судов Тюменской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упразднить Аромашевский районный суд Тюменской области, передав относящиеся к его ведению вопросы осуществления правосудия в юрисдикцию Голышмановского районного суда Тюменской области</w:t>
      </w:r>
    </w:p>
    <w:p>
      <w:r>
        <w:t>упразднить Упоровский районный суд Тюменской области, передав относящиеся к его ведению вопросы осуществления правосудия в юрисдикцию Заводоуковского районного суда Тюменской области</w:t>
      </w:r>
    </w:p>
    <w:p>
      <w:r>
        <w:t>упразднить Юргинский районный суд Тюменской области, передав относящиеся к его ведению вопросы осуществления правосудия в юрисдикцию Омутинского районного суда Тюменской области</w:t>
      </w:r>
    </w:p>
    <w:p>
      <w:r>
        <w:t>упразднить Ялуторовский городской суд Тюменской области, передав относящиеся к его ведению вопросы осуществления правосудия в юрисдикцию Ялуторовского районного суда Тюменской области</w:t>
      </w:r>
    </w:p>
    <w:p>
      <w:r>
        <w:t>установить, что юрисдикция районных судов Тюменской области, указанных в пунктах 1 - 4 настоящей статьи, распространяется на территории следующих административно-территориальных образований Тюменской области в границах, существующих на день вступления в силу настоящего Федерального закона: Голышмановского районного суда - на территории Голышмановского и Аромашевского районов; Заводоуковского районного суда - на территории города Заводоуковска, Заводоуковского и Упоровского районов; Омутинского районного суда - на территории Омутинского и Юргинского районов; Ялуторовского районного суда - на территории города Ялуторовска и Ялуторовского района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30 дней после дня его официального опубликования, за исключением пунктов 1 - 5 статьи 1 настоящего Федерального закона</w:t>
      </w:r>
    </w:p>
    <w:p>
      <w:r>
        <w:rPr>
          <w:b/>
        </w:rPr>
        <w:t xml:space="preserve">2. </w:t>
      </w:r>
      <w:r>
        <w:t>Пункты 1 - 5 статьи 1 настоящего Федерального закона вступают в силу по истечении одного года после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