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95 Уголовного кодекса Российской Федерации</w:t>
      </w:r>
    </w:p>
    <w:p>
      <w:r>
        <w:rPr>
          <w:b/>
        </w:rPr>
        <w:t>Статья 95. Сроки погашения судимости</w:t>
      </w:r>
    </w:p>
    <w:p>
      <w:r>
        <w:t>Для лиц, совершивших преступления до достижения возраста восемнадцати лет, сроки погашения судимости, предусмотренные частью третьей статьи 86 настоящего Кодекса, сокращаются и соответственно равны: а) шести месяцам после отбытия или исполнения наказания более мягкого, чем лишение свободы; б) одному году после отбытия лишения свободы за преступление небольшой или средней тяжести; в) трем годам после отбытия лишения свободы за тяжкое или особо тяжкое преступление.". Президент Российской Федерации Д.Медведев Москва, Кремль 5 апреля 2010 года № 48-ФЗ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