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2001, № 33, ст. 3424; 2002, № 26, ст. 2518; 2003, № 11, ст. 954; № 50, ст. 4848, 4855; 2004, № 30, ст. 3091; 2009, № 44, ст. 5170; № 52, ст. 6453) следующие изменения: 1) в статье 169: а) абзац второй части первой изложить в следующей редакции: "наказываются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б) абзац второй части второй изложить в следующей редакции: "наказываются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от ста восьмидесяти до двухсот сорока часов, либо арестом на срок от четырех до шести месяцев, либо лишением свободы на срок до трех лет."; в) в примечании слова "двести пятьдесят тысяч рублей, особо крупным - один миллион рублей" заменить словами "один миллион пятьсот тысяч рублей, особо крупным - шесть миллионов рублей"; 2) в абзаце первом части первой статьи 171 слова "без специального разрешения (лицензии) в случаях, когда такое разрешение (лицензия) обязательно, или с нарушением лицензионных требований и условий," заменить словами "без лицензии в случаях, когда такая лицензия обязательна,"; 3) в абзаце первом части первой статьи 172 слова "или с нарушением лицензионных требований и условий," исключить; 4) статью 173 признать утратившей силу; 5) в примечании к статье 174 слова "один миллион" заменить словами "шесть миллионов"; 6) статью 1741 изложить в следующей редакции: "Статья 1741. Легализация (отмывание) денежных средств или иного имущества, приобретенных лицом в результате совершения им преступления 1. Финансовые операции и другие сделки с денежными средствами или иным имуществом, приобретенными лицом в результате совершения им преступления (за исключением преступлений, предусмотренных статьями 193, 194, 198, 199, 1991 и 1992 настоящего Кодекса), в целях придания правомерного вида владению, пользованию и распоряжению указанными денежными средствами или иным имуществом, совершенные в крупном размере,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
        <w:rPr>
          <w:b/>
        </w:rPr>
        <w:t xml:space="preserve">2. </w:t>
      </w:r>
      <w:r>
        <w:t>Деяния, предусмотренные частью первой настоящей статьи, совершенные:</w:t>
      </w:r>
    </w:p>
    <w:p>
      <w:r>
        <w:rPr>
          <w:b/>
        </w:rPr>
        <w:t xml:space="preserve">3. </w:t>
      </w:r>
      <w:r>
        <w:t>Деяния, предусмотренные частями первой или второй настоящей статьи, совершенные организованной группой, - наказываются лишением свободы на срок от семи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
        <w:rPr>
          <w:b/>
        </w:rPr>
        <w:t xml:space="preserve">2. </w:t>
      </w:r>
      <w:r>
        <w:t>группой лиц по предварительному сговору</w:t>
      </w:r>
    </w:p>
    <w:p>
      <w:r>
        <w:rPr>
          <w:b/>
        </w:rPr>
        <w:t xml:space="preserve">2. </w:t>
      </w:r>
      <w:r>
        <w:t>лицом с использованием своего служебного положения, - наказываются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3. </w:t>
      </w:r>
      <w:r>
        <w:t>в примечании к статье 193 слова "пять миллионов" заменить словами "тридцать миллионов"</w:t>
      </w:r>
    </w:p>
    <w:p>
      <w:r>
        <w:rPr>
          <w:b/>
        </w:rPr>
        <w:t xml:space="preserve">3. </w:t>
      </w:r>
      <w:r>
        <w:t>в примечании к статье 194 слова "пятьсот тысяч рублей, а в особо крупном размере - один миллион пятьсот тысяч рублей" заменить словами "три миллиона рублей, а в особо крупном размере - тридцать шесть миллионов рублей"</w:t>
      </w:r>
    </w:p>
    <w:p>
      <w:r>
        <w:rPr>
          <w:b/>
        </w:rPr>
        <w:t>Статья 2</w:t>
      </w:r>
    </w:p>
    <w:p>
      <w:r>
        <w:t>Подпункт 3 статьи 15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2004, № 27, ст. 2711) изложить в следующей редакции: "3) в соответствии с уголовно-процессуальным законодательством Российской Федерации является подозреваемым либо привлечен в качестве обвиняемого, - до вынесения решения по делу или вступления в законную силу приговора суда;".</w:t>
      </w:r>
    </w:p>
    <w:p>
      <w:r>
        <w:rPr>
          <w:b/>
        </w:rPr>
        <w:t>Статья 3</w:t>
      </w:r>
    </w:p>
    <w:p>
      <w:r>
        <w:t>(Утратила силу - Федеральный закон от 03.07.2016 № 361-ФЗ)</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2008, № 49, ст. 5724; 2009, № 11, ст. 1267; № 44, ст. 5170; 2010, № 1, ст. 4) следующие изменения: 1) статью 106 изложить в следующей редакции: "Статья 106. Залог 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Залог может быть избран в любой момент производства по уголовному делу.</w:t>
      </w:r>
    </w:p>
    <w:p>
      <w:r>
        <w:rPr>
          <w:b/>
        </w:rPr>
        <w:t xml:space="preserve">2. </w:t>
      </w:r>
      <w:r>
        <w:t>Залог в качестве меры пресечения применяется в отношении подозреваемого либо обвиняемого по решению суда в порядке, установленном статьей 108 настоящего Кодекса, с учетом особенностей, определенных настоящей статьей.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r>
        <w:rPr>
          <w:b/>
        </w:rPr>
        <w:t xml:space="preserve">3. </w:t>
      </w:r>
      <w:r>
        <w:t>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небольшой и средней тяжести размер залога не может быть менее ста тысяч рублей, а по уголовным делам о тяжких и особо тяжких преступлениях - менее пятисот тысяч рублей. Не может приниматься в качестве залога имущество, на которое в соответствии с Гражданским процессуальным кодексом Российской Федерации не может быть обращено взыскание. Порядок оценки, содержания указанного в части первой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
        <w:rPr>
          <w:b/>
        </w:rPr>
        <w:t xml:space="preserve">4. </w:t>
      </w:r>
      <w:r>
        <w:t>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
        <w:rPr>
          <w:b/>
        </w:rPr>
        <w:t xml:space="preserve">5. </w:t>
      </w:r>
      <w:r>
        <w:t>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
        <w:rPr>
          <w:b/>
        </w:rPr>
        <w:t xml:space="preserve">6. </w:t>
      </w:r>
      <w:r>
        <w:t>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
        <w:rPr>
          <w:b/>
        </w:rPr>
        <w:t xml:space="preserve">7. </w:t>
      </w:r>
      <w:r>
        <w:t>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статьей 108 настоящего Кодекса, рассматривает вопрос об избрании в отношении подозреваемого либо обвиняемого иной меры пресечения</w:t>
      </w:r>
    </w:p>
    <w:p>
      <w:r>
        <w:rPr>
          <w:b/>
        </w:rPr>
        <w:t xml:space="preserve">8. </w:t>
      </w:r>
      <w:r>
        <w:t>Если внесение залога применяется вместо ранее избранной меры пресечения, то эта мера пресечения действует до внесения залога</w:t>
      </w:r>
    </w:p>
    <w:p>
      <w:r>
        <w:rPr>
          <w:b/>
        </w:rPr>
        <w:t xml:space="preserve">9. </w:t>
      </w:r>
      <w:r>
        <w:t>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w:t>
      </w:r>
    </w:p>
    <w:p>
      <w:r>
        <w:rPr>
          <w:b/>
        </w:rPr>
        <w:t xml:space="preserve">10. </w:t>
      </w:r>
      <w:r>
        <w:t>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
        <w:rPr>
          <w:b/>
        </w:rPr>
        <w:t xml:space="preserve">10. </w:t>
      </w:r>
      <w:r>
        <w:t>в части первой1 статьи 108 слова "статьями 198 - 1992 Уголовного кодекса Российской Федерации" заменить словами "статьями 159, 160, 165, если эти преступления совершены в сфере предпринимательской деятельности, а также статьями 171 - 174, 1741, 176 - 178, 180 - 183, 185 - 1854, 190 - 1992 Уголовного кодекса Российской Федерации"</w:t>
      </w:r>
    </w:p>
    <w:p>
      <w:r>
        <w:rPr>
          <w:b/>
        </w:rPr>
        <w:t xml:space="preserve">10. </w:t>
      </w:r>
      <w:r>
        <w:t>в части шестой статьи 118 слова "частью четвертой статьи 106" заменить словами "частью девятой статьи 106"</w:t>
      </w:r>
    </w:p>
    <w:p>
      <w:r>
        <w:rPr>
          <w:b/>
        </w:rPr>
        <w:t xml:space="preserve">10. </w:t>
      </w:r>
      <w:r>
        <w:t>в статье 151:</w:t>
      </w:r>
    </w:p>
    <w:p>
      <w:r>
        <w:rPr>
          <w:b/>
        </w:rPr>
        <w:t xml:space="preserve">10. </w:t>
      </w:r>
      <w:r>
        <w:t>в пункте 3 части второй цифры "172 - 174" заменить цифрами "172, 174"</w:t>
      </w:r>
    </w:p>
    <w:p>
      <w:r>
        <w:rPr>
          <w:b/>
        </w:rPr>
        <w:t xml:space="preserve">10. </w:t>
      </w:r>
      <w:r>
        <w:t>в части пятой цифры "172 - 174" заменить цифрами "172, 174"</w:t>
      </w:r>
    </w:p>
    <w:p>
      <w:r>
        <w:rPr>
          <w:b/>
        </w:rPr>
        <w:t>Статья 5</w:t>
      </w:r>
    </w:p>
    <w:p>
      <w:r>
        <w:t>Пункт 97 статьи 1 Федерального закона от 8 декабря 2003 года № 162-ФЗ "О внесении изменений и дополнений в Уголовный кодекс Российской Федерации" (Собрание законодательства Российской Федерации, 2003, № 50, ст. 4848) признать утратившим силу.</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