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165 части второй Налогового кодекса Российской Федерации и статью 45 Федерального закона "Об основах государственного регулирования внешнеторговой деятельности"</w:t>
      </w:r>
    </w:p>
    <w:p>
      <w:r>
        <w:rPr>
          <w:b/>
        </w:rPr>
        <w:t>Статья 1</w:t>
      </w:r>
    </w:p>
    <w:p>
      <w:r>
        <w:t>(Утратила силу - Федеральный закон от 19.07.2011 № 245-ФЗ)</w:t>
      </w:r>
    </w:p>
    <w:p>
      <w:r>
        <w:rPr>
          <w:b/>
        </w:rPr>
        <w:t>Статья 2</w:t>
      </w:r>
    </w:p>
    <w:p>
      <w:r>
        <w:t>Внести в статью 45 Федерального закона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следующие изменения</w:t>
      </w:r>
    </w:p>
    <w:p>
      <w:r>
        <w:t>часть 2 изложить в следующей редакции: "2.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на таможенную территорию Российской Федерации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на таможенную территорию Российской Федерации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таможенной территории Российской Федерации должны быть реализованы в соответствии с требованиями, установленными частью 5 настоящей статьи."</w:t>
      </w:r>
    </w:p>
    <w:p>
      <w:r>
        <w:t>часть 3 признать утратившей силу</w:t>
      </w:r>
    </w:p>
    <w:p>
      <w:r>
        <w:t>часть 5 изложить в следующей редакции: "5.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на территорию Российской Федерации при условии, что:</w:t>
      </w:r>
    </w:p>
    <w:p>
      <w:r>
        <w:t>фактическое получение товаров, указанных в абзаце первом настоящей части, должно быть подтверждено документами, предусмотренными условиями внешнеторговой бартерной сделки</w:t>
      </w:r>
    </w:p>
    <w:p>
      <w:r>
        <w:t>российские лица не позднее чем в течение одного года со дня фактического получения товаров, указанных в абзаце первом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r>
        <w:rPr>
          <w:b/>
        </w:rPr>
        <w:t>Статья 3</w:t>
      </w:r>
    </w:p>
    <w:p>
      <w:r>
        <w:rPr>
          <w:b/>
        </w:rPr>
        <w:t xml:space="preserve">1. </w:t>
      </w:r>
      <w:r>
        <w:t>Настоящий Федеральный закон вступает в силу по истечении 10 дней после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