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30 и 31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49, ст. 4554; 2003, № 46, ст. 4435; 2004, № 49, ст. 4840; 2007, № 31, ст. 4013; 2009, № 48, ст. 5733, 5734) следующие изменения</w:t>
      </w:r>
    </w:p>
    <w:p>
      <w:r>
        <w:t>статью 376 дополнить пунктом 6 следующего содержания: "6. Налоговая база уменьшается на сумму законченных капитальных вложений на строительство, реконструкцию и (или) модернизацию вводимых, реконструируемых и (или) модернизируемых судоходных гидротехнических сооружений, расположенных на внутренних водных путях Российской Федерации, портовых гидротехнических сооружений, сооружений инфраструктуры воздушного транспорта (за исключением системы централизованной заправки самолетов, космодрома), учтенных в балансовой стоимости данных объектов. Положение настоящего пункта не применяется в отношении законченных капитальных вложений, учтенных в балансовой стоимости указанных объектов до 1 января 2010 года."</w:t>
      </w:r>
    </w:p>
    <w:p>
      <w:r>
        <w:t>в статье 378: а) слово "Имущество" заменить словами "1. Имущество"; б) дополнить пунктом 2 следующего содержания: "2. Имущество, составляющее паевой инвестиционный фонд, подлежит налогообложению у управляющей компании. При этом налог уплачивается за счет имущества, составляющего этот паевой инвестиционный фонд."</w:t>
      </w:r>
    </w:p>
    <w:p>
      <w:r>
        <w:t>в пункте 1 статьи 388: а) слово "признаваемые" заменить словом "признаваемыми", дополнить словами ", если иное не установлено настоящим пунктом"; б) дополнить абзацем следующего содержания: "В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паевой инвестиционный фонд."</w:t>
      </w:r>
    </w:p>
    <w:p>
      <w:r>
        <w:rPr>
          <w:b/>
        </w:rPr>
        <w:t>Статья 2</w:t>
      </w:r>
    </w:p>
    <w:p>
      <w:r>
        <w:t>Установить, что положения пункта 6 статьи 376 части второй Налогового кодекса Российской Федерации (в редакции настоящего Федерального закона) применяются до 1 января 2030 года. (В редакции Федерального закона от 29.10.2024 № 362-ФЗ)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