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Конвенции о международных гарантиях в отношении подвижного оборудования и Протоколу по авиационному оборудованию к Конвенции о международных гарантиях в отношении подвижного оборудования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Российская Федерация на основании подпункта "а" пункта 1 статьи 39 Конвенции заявляет, что на территории Российской Федерации следующие требования кредиторов, удовлетворяемые в ходе процедур, которые применяются в деле о банкротстве, будут обладать приоритетом перед зарегистрированными в Международном регистре международными гарантиями: требования кредиторов по текущим платежам; требования по возмещению расходов на проведение мероприятий по недопущению возникновения техногенных и (или) экологических катастроф либо гибели людей в случае, если прекращение деятельности организации-должника или ее структурных подразделений может повлечь за собой возникновение техногенных и (или) экологических катастроф либо гибель людей; требования граждан, перед которыми должник несет ответственность за причинение вреда жизни или здоровью путем капитализации соответствующих повременных платежей, а также требования о компенсации морального вреда; требования по выплате выходных пособий и оплате труда лиц, работающих или работавших по трудовому договору, и по выплате вознаграждений авторам результатов интеллектуальной деятельности</w:t>
      </w:r>
    </w:p>
    <w:p>
      <w:r>
        <w:rPr>
          <w:b/>
        </w:rPr>
        <w:t xml:space="preserve">2. </w:t>
      </w:r>
      <w:r>
        <w:t>Российская Федерация на основании подпункта "b" пункта 1 статьи 39 Конвенции заявляет, что ничто в Конвенции не влияет на право Российской Федерации или государственной организации, межправительственной организации или другого частного поставщика общественного обслуживания арестовывать или задерживать объект согласно законодательству Российской Федерации в оплату сумм, причитающихся такой организации или поставщику, прямо относящихся к предоставлению такого обслуживания для авиационного объекта</w:t>
      </w:r>
    </w:p>
    <w:p>
      <w:r>
        <w:rPr>
          <w:b/>
        </w:rPr>
        <w:t xml:space="preserve">3. </w:t>
      </w:r>
      <w:r>
        <w:t>Российская Федерация на основании статьи 53 Конвенции заявляет, что разрешение дел, связанных с Конвенцией и Протоколом, производится арбитражными судами Российской Федерации</w:t>
      </w:r>
    </w:p>
    <w:p>
      <w:r>
        <w:rPr>
          <w:b/>
        </w:rPr>
        <w:t xml:space="preserve">4. </w:t>
      </w:r>
      <w:r>
        <w:t>Российская Федерация на основании пункта 2 статьи 54 Конвенции заявляет, что любой способ защиты прав, имеющийся у кредитора в соответствии с каким-либо из положений Конвенции и четко в них не определенный как способ защиты прав, за которым следует обращаться в суд, может быть применен без обращения в суд</w:t>
      </w:r>
    </w:p>
    <w:p>
      <w:r>
        <w:rPr>
          <w:b/>
        </w:rPr>
        <w:t xml:space="preserve">5. </w:t>
      </w:r>
      <w:r>
        <w:t>Российская Федерация на основании пункта 3 статьи XXX Протокола заявляет, что будет применять полностью положения Варианта А статьи XI Протокола в ходе всех процедур, которые применяются в деле о банкротстве. При этом период отсрочки равен 60 календарным дням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