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127 и 146 Семейного кодекса Российской Федерации</w:t>
      </w:r>
    </w:p>
    <w:p>
      <w:r>
        <w:rPr>
          <w:b/>
        </w:rPr>
        <w:t>Статья 1</w:t>
      </w:r>
    </w:p>
    <w:p>
      <w:r>
        <w:t>Внести в Семейный кодекс Российской Федерации (Собрание законодательства Российской Федерации, 1996, № 1, ст. 16; 1998, № 26, ст. 3014; 2005, № 1, ст. 11) следующие изменения</w:t>
      </w:r>
    </w:p>
    <w:p>
      <w:r>
        <w:t>в статье 127: а) в пункте 1: абзац десятый изложить в следующей редакции: "лиц,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безопасности;"; дополнить новым абзацем одиннадцатым следующего содержания: "лиц, имеющих неснятую или непогашенную судимость за тяжкие или особо тяжкие преступления;"; абзац одиннадцатый считать абзацем двенадцатым; б) в пункте 11 слово "одиннадцатым" заменить словом "двенадцатым"; в) в пункте 12 слово "одиннадцатым" заменить словом "двенадцатым"</w:t>
      </w:r>
    </w:p>
    <w:p>
      <w:r>
        <w:t>пункт 1 статьи 146 изложить в следующей редакции: "1. Опекунами (попечителями) детей могут назначаться только совершеннолетние дееспособные лица. Не могут быть назначены опекунами (попечителями): лица, лишенные родительских прав;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 лица, имеющие неснятую или непогашенную судимость за тяжкие или особо тяжкие преступления."</w:t>
      </w:r>
    </w:p>
    <w:p>
      <w:r>
        <w:rPr>
          <w:b/>
        </w:rPr>
        <w:t>Статья 2</w:t>
      </w:r>
    </w:p>
    <w:p>
      <w:r>
        <w:t>Положения абзацев десятого и одиннадцатого пункта 1 статьи 127 Семейного кодекса Российской Федерации (в редакции настоящего Федерального закона) не применяются к правоотношениям, возникшим на основании решений судов об усыновлении (удочерении) ребенка, вступивших в законную силу до дня вступления в силу настоящего Федерального закона. Положения абзацев третьего и четвертого пункта 1 статьи 146 Семейного кодекса Российской Федерации (в редакции настоящего Федерального закона) не применяются к правоотношениям, возникшим на основании актов органов опеки и попечительства о назначении опекуна или попечителя ребенку, принятых до дня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