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3.12 и 28.8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19, ст. 1752; 2006, № 45, ст. 4641; № 52, ст. 5498; 2007, № 31, ст. 4007, 4008; 2010, № 21, ст. 2525; № 30, ст. 4002; № 31, ст. 4164) следующие изменения</w:t>
      </w:r>
    </w:p>
    <w:p>
      <w:r>
        <w:t>часть 1 статьи 3.12 дополнить абзацем следующего содержания: "Административное приостановление деятельности назначается судьей. За административное правонарушение, предусмотренное частью 3 статьи 9.1 настоящего Кодекса (в части грубого нарушения требований промышленной безопасности), административное приостановление деятельности назначается должностными лицами, указанными в пунктах 1 и 4 части 2 статьи 23.31 настоящего Кодекса."</w:t>
      </w:r>
    </w:p>
    <w:p>
      <w:r>
        <w:t>часть 4 статьи 28.8 после слова "судье" дополнить словами ", в орган, должностному лицу, уполномоченным рассматривать дело об административном правонарушении,"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