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внутреннего водного транспорта Российской Федерации</w:t>
      </w:r>
    </w:p>
    <w:p>
      <w:r>
        <w:rPr>
          <w:b/>
        </w:rPr>
        <w:t>Статья 6. Провозная плата, сборы (тарифы) с судов</w:t>
      </w:r>
    </w:p>
    <w:p>
      <w:r>
        <w:rPr>
          <w:b/>
        </w:rPr>
        <w:t xml:space="preserve">1. </w:t>
      </w:r>
      <w:r>
        <w:t>Перевозки грузов, пассажиров и их багажа, буксировка судов и иных плавучих объектов, погрузка и выгрузка грузов, оказание услуг в речных портах, услуг по использованию инфраструктуры внутренних водных путей и других услуг внутреннего водного транспорта осуществляются на платной основе</w:t>
      </w:r>
    </w:p>
    <w:p>
      <w:r>
        <w:rPr>
          <w:b/>
        </w:rPr>
        <w:t xml:space="preserve">2. </w:t>
      </w:r>
      <w:r>
        <w:t>Провозная плата (плата за перевозки грузов, пассажиров и их багажа) устанавливается перевозчиками. Плата за буксировку судов и иных плавучих объектов устанавливается буксировщиками. В случае предоставления органами государственной власти субъекта Российской Федерации и (или) органами местного самоуправления субсидий в целях возмещения затрат или недополученных доходов в связи с оказанием услуг по перевозкам пассажиров и их багажа по транзитным, пригородным и местным маршрутам перевозок пассажиров размер провозной платы определяется перевозчиками по согласованию с указанными органами</w:t>
      </w:r>
    </w:p>
    <w:p>
      <w:r>
        <w:rPr>
          <w:b/>
        </w:rPr>
        <w:t xml:space="preserve">3. </w:t>
      </w:r>
      <w:r>
        <w:t>Размер платы за услуги по использованию инфраструктуры внутренних водных путей и услуги в речных портах, не относящиеся к сфере естественных монополий, определяется на основании договоров</w:t>
      </w:r>
    </w:p>
    <w:p>
      <w:r>
        <w:rPr>
          <w:b/>
        </w:rPr>
        <w:t xml:space="preserve">4. </w:t>
      </w:r>
      <w:r>
        <w:t>Сборы (тарифы) с судов за услуги в речном порту, оказываемые субъектами естественных монополий, перечень таких сборов (тарифов) и правила их применения устанавливаются в соответствии с законодательством о естественных монополиях</w:t>
      </w:r>
    </w:p>
    <w:p>
      <w:r>
        <w:rPr>
          <w:b/>
        </w:rPr>
        <w:t xml:space="preserve">5. </w:t>
      </w:r>
      <w:r>
        <w:t>Сборы (тарифы) с судов за услуги по использованию инфраструктуры внутренних водных путей, перечень таких сборов (тарифов) и правила их применения устанавливаются в соответствии с законодательством о естественных монополиях.";</w:t>
      </w:r>
    </w:p>
    <w:p>
      <w:r>
        <w:rPr>
          <w:b/>
        </w:rPr>
        <w:t xml:space="preserve">5. </w:t>
      </w:r>
      <w:r>
        <w:t>третье предложение абзаца первого пункта 1 статьи 41 исключить</w:t>
      </w:r>
    </w:p>
    <w:p>
      <w:r>
        <w:rPr>
          <w:b/>
        </w:rPr>
        <w:t xml:space="preserve">5. </w:t>
      </w:r>
      <w:r>
        <w:t>статью 58 признать утратившей силу. Президент Российской Федерации Д.Медведев Москва, Кремль 5 апреля 2011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