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статьи 214-1 и 310 части второй Налогового кодекса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2, ст. 172; 2007, № 1, ст. 45; № 22, ст. 2563; № 50, ст. 6247, 6249; 2009, № 18, ст. 2154; № 48, ст. 5731; 2010, № 31, ст. 4193; № 41, ст. 5193; 2011, № 7, ст. 905) следующие изменения: 1) часть тринадцатую статьи 7 изложить в следующей редакции: "Депозитарий,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Депозитарий, осуществляющий обязательное централизованное хранение эмиссионных ценных бумаг, по распоряжению эмитента предоставляет ему список лиц, являющихся владельцами указанных ценных бумаг, один раз в год за вознаграждение, не превышающее затраты на его составление, а в остальных случаях за вознаграждение, размер которого определяется договором с таким депозитарием. Номинальный держатель, являющийся депонентом депозитария, осуществляющего обязательное централизованное хранение эмиссионных ценных бумаг, должен предоставить список владельцев таких ценных бумаг не позднее семи дней после дня получения соответствующего требования от указанного депозитария. Депозитарий, осуществляющий учет прав на иные ценные бумаги, может оказывать депоненту услуги, связанные с получением доходов по таким ценным бумагам и иных причитающихся владельцам таких ценных бумаг выплат."; 2) дополнить статьей 71 следующего содержания: "Статья 71. Особенности получения доходов в денежной форме и иных денежных выплат по эмиссионным ценным бумагам с обязательным централизованным хранением, причитающихся владельцам таких ценных бумаг 1. Владельцы и доверительные управляющие эмиссионных ценных бумаг с обязательным централизованным хранением (далее в настоящей статье - также ценные бумаги) получают доходы в денежной форме и иные денежные выплаты по ценным бумагам (далее в настоящей статье - выплаты по ценным бумагам)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
        <w:rPr>
          <w:b/>
        </w:rPr>
        <w:t xml:space="preserve">2. </w:t>
      </w:r>
      <w:r>
        <w:t>Эмитент исполняет обязанность по осуществлению выплат по ценным бумагам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специальный депозитарный счет депозитария (счет депозитария, являющегося кредитной организацией), осуществляющего обязательное централизованное хранение ценных бумаг</w:t>
      </w:r>
    </w:p>
    <w:p>
      <w:r>
        <w:rPr>
          <w:b/>
        </w:rPr>
        <w:t xml:space="preserve">3. </w:t>
      </w:r>
      <w:r>
        <w:t>Депозитарий, осуществляющий обязательное централизованное хранение ценных бумаг, обязан передать выплаты по ценным бумагам своим депонентам не позднее следующего рабочего дня после дня их получения. Эмитент несет перед депонентами депозитария, осуществляющего обязательное централизованное хранение ценных бумаг, субсидиарную ответственность за исполнение таким депозитарием указанной обязанности. При этом перечисление депозитарием, осуществляющим обязательное централизованное хранение ценных бумаг,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
        <w:rPr>
          <w:b/>
        </w:rPr>
        <w:t xml:space="preserve">4. </w:t>
      </w:r>
      <w: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депозитарием, осуществляющим обязательное централизованное хранение ценных бумаг, в соответствии с пунктом 7 настоящей статьи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 Требование, касающееся обязанности депозитария передать выплаты по ценным бумагам своим депонентам не позднее 10 рабочих дней после даты, указанной в абзаце первом настоящего пункта,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
        <w:rPr>
          <w:b/>
        </w:rPr>
        <w:t xml:space="preserve">5. </w:t>
      </w:r>
      <w:r>
        <w:t>Передача выплат по ценным бумагам осуществляется депозитарием лицу, являвшемуся его депонентом</w:t>
      </w:r>
    </w:p>
    <w:p>
      <w:r>
        <w:rPr>
          <w:b/>
        </w:rPr>
        <w:t xml:space="preserve">6. </w:t>
      </w:r>
      <w:r>
        <w:t>Депозитарий передает своим депонентам выплаты по ценным бумагам пропорционально количеству ценных бумаг, которые учитывались на их счетах депо на дату, определенную в соответствии с пунктом 5 настоящей статьи</w:t>
      </w:r>
    </w:p>
    <w:p>
      <w:r>
        <w:rPr>
          <w:b/>
        </w:rPr>
        <w:t xml:space="preserve">7. </w:t>
      </w:r>
      <w:r>
        <w:t>Депозитарий, осуществляющий обязательное централизованное хранение ценных бумаг, обязан раскрыть (предоставить) информацию о передаче выплат по ценным бумагам, в том числе о размере выплаты, приходящейся на одну ценную бумагу, в порядке, сроки и объеме, которые установлены федеральным органом исполнительной власти по рынку ценных бумаг.";</w:t>
      </w:r>
    </w:p>
    <w:p>
      <w:r>
        <w:rPr>
          <w:b/>
        </w:rPr>
        <w:t xml:space="preserve">5. </w:t>
      </w:r>
      <w:r>
        <w:t>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ценным бумагам</w:t>
      </w:r>
    </w:p>
    <w:p>
      <w:r>
        <w:rPr>
          <w:b/>
        </w:rPr>
        <w:t xml:space="preserve">5. </w:t>
      </w:r>
      <w:r>
        <w:t>на дату, следующую за датой, на которую депозитарием, осуществляющим обязательное централизованное хранение ценных бумаг, в соответствии с пунктом 7 настоящей статьи раскрыта (предоставлена) информация о передаче своим депонентам причитающихся им выплат по ценным бумагам в случае, если обязанность по осуществлению последней из выплат по ценным бумагам в установленный срок эмитентом не исполнена или исполнена ненадлежащим образом</w:t>
      </w:r>
    </w:p>
    <w:p>
      <w:r>
        <w:rPr>
          <w:b/>
        </w:rPr>
        <w:t xml:space="preserve">7. </w:t>
      </w:r>
      <w:r>
        <w:t>статью 14 дополнить частью четвертой следующего содержания: "Фондовая биржа вправе осуществлять листинг федеральных государственных ценных бумаг без заключения договора с эмитентом ценных бумаг."</w:t>
      </w:r>
    </w:p>
    <w:p>
      <w:r>
        <w:rPr>
          <w:b/>
        </w:rPr>
        <w:t xml:space="preserve">7. </w:t>
      </w:r>
      <w:r>
        <w:t>(Утратил силу - Федеральный закон от 29.12.2012 № 282-ФЗ)</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23, ст. 2289; № 33, ст. 3413; 2002, № 22, ст. 2026; 2003, № 19, ст. 1749; 2004, № 27, ст. 2711; № 31, ст. 3231; 2005, № 24, ст. 2312; 2007, № 1, ст. 31; № 31, ст. 4013; № 49, ст. 6071; 2008, № 30, ст. 3614; № 48, ст. 5500; 2009, № 48, ст. 5731; 2010, № 15, ст. 1737; № 31, ст. 4198; № 32, ст. 4298; 2011, № 1, ст. 7) следующие изменения</w:t>
      </w:r>
    </w:p>
    <w:p>
      <w:r>
        <w:t>(Утратил силу - Федеральный закон от 02.11.2013 № 306-ФЗ) 2) пункт 1 статьи 310 дополнить абзацем следующего содержания: "Налог с доходов в денежной форме, подлежащих выплате (перечислению) по эмиссионным ценным бумагам с обязательным централизованным хранением в отношении выпусков федеральных государственных эмиссионных ценных бумаг с обязательным централизованным хранением независимо от даты регистрации их выпуска и выпусков иных эмиссионных ценных бумаг с обязательным централизованным хранением, государственная регистрация которых или присвоение идентификационного номера которым осуществлены после 1 января 2012 года, лицу, имеющему в соответствии с действующим законодательством право на получение таких доходов и являющемуся иностранной организацией, исчисляется и удерживается депозитарием, осуществляющим выплату (перечисление) указанных доходов налогоплательщику."</w:t>
      </w:r>
    </w:p>
    <w:p>
      <w:r>
        <w:rPr>
          <w:b/>
        </w:rPr>
        <w:t>Статья 3</w:t>
      </w:r>
    </w:p>
    <w:p>
      <w:r>
        <w:rPr>
          <w:b/>
        </w:rPr>
        <w:t xml:space="preserve">1. </w:t>
      </w:r>
      <w:r>
        <w:t>Настоящий Федеральный закон вступает в силу с 1 января 2012 года, за исключением статьи 2 настоящего Федерального закона</w:t>
      </w:r>
    </w:p>
    <w:p>
      <w:r>
        <w:rPr>
          <w:b/>
        </w:rPr>
        <w:t xml:space="preserve">2. </w:t>
      </w:r>
      <w:r>
        <w:t>Статья 2 настоящего Федерального закона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3. </w:t>
      </w:r>
      <w:r>
        <w:t>Действие положений статей 7, 71, 14 и 17 Федерального закона от 22 апреля 1996 года № 39-ФЗ "О рынке ценных бумаг" (в редакции настоящего Федерального закона) распространяется в том числе на выпуски федеральных государственных эмиссионных ценных бумаг с обязательным централизованным хранением, государственная регистрация которых осуществлена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