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 Гражданского процессуального кодекса Российской Федерации и статью 30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Статью 14 Гражданского процессуального кодекса Российской Федерации (Собрание законодательства Российской Федерации, 2002, № 46, ст. 4532; 2010, № 50, ст. 6611) дополнить частью третьей следующего содержания: "3. Состав суда для рассмотрения конкретного дела формируется с учетом нагрузки и специализации судей в порядке, исключающем влияние на его формирование лиц, заинтересованных в исходе судебного разбирательства, в том числе с использованием автоматизированной информационной системы.".</w:t>
      </w:r>
    </w:p>
    <w:p>
      <w:r>
        <w:rPr>
          <w:b/>
        </w:rPr>
        <w:t>Статья 2</w:t>
      </w:r>
    </w:p>
    <w:p>
      <w:r>
        <w:t>Часть первую статьи 30 Уголовно-процессуального кодекса Российской Федерации (Собрание законодательства Российской Федерации, 2001, № 52, ст. 4921; 2002, № 22, ст. 2027; 2009, № 1, ст. 29; 2011, № 1, ст. 45) дополнить предложением следующего содержания: "Состав суда для рассмотрения конкретного дела формируется с учетом нагрузки и специализации судей в порядке, исключающем влияние на его формирование лиц, заинтересованных в исходе судебного разбирательства, в том числе с использованием автоматизированной информационной системы.".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