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2007, № 26, ст. 3089; 2009, № 23, ст. 2776; 2010, № 31, ст. 4198) следующие изменения</w:t>
      </w:r>
    </w:p>
    <w:p>
      <w:r>
        <w:t>статью 15.2 признать утратившей силу</w:t>
      </w:r>
    </w:p>
    <w:p>
      <w:r>
        <w:t>в части 1 статьи 23.5 цифры "15.2," исключить</w:t>
      </w:r>
    </w:p>
    <w:p>
      <w:r>
        <w:rPr>
          <w:b/>
        </w:rPr>
        <w:t>Статья 2</w:t>
      </w:r>
    </w:p>
    <w:p>
      <w:r>
        <w:t>Пункт 293 статьи 1 Федерального закона от 22 июня 2007 года № 116-ФЗ "О внесении изменений в Кодекс Российской Федерации об административных правонарушениях в части изменения способа выражения денежного взыскания, налагаемого за административное правонарушение" (Собрание законодательства Российской Федерации, 2007, № 26, ст. 3089) признать утратившим силу.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