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56 Жилищного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5 части 1 статьи 56 Жилищного кодекса Российской Федерации (Собрание законодательства Российской Федерации, 2005, № 1, ст. 14; 2011, № 49, ст. 7061) изменение, дополнив его словами ", за исключением граждан, имеющих трех и более детей".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положения пункта 5 части 1 статьи 56 Жилищного кодекса Российской Федерации (в редакции настоящего Федерального закона) распространяется на правоотношения, возникшие с 17 июня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