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 Федерального закона "О рекламе" и статью 3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</w:t>
      </w:r>
    </w:p>
    <w:p>
      <w:r>
        <w:rPr>
          <w:b/>
        </w:rPr>
        <w:t>Статья 1</w:t>
      </w:r>
    </w:p>
    <w:p>
      <w:r>
        <w:t>Внести в часть 2 статьи 21 Федерального закона от 13 марта 2006 года № 38-ФЗ "О рекламе" (Собрание законодательства Российской Федерации, 2006, № 12, ст. 1232; 2011, № 30, ст. 4566) следующие изменения</w:t>
      </w:r>
    </w:p>
    <w:p>
      <w:r>
        <w:t>пункт 1 изложить в следующей редакции: "1) в периодических печатных изданиях;"</w:t>
      </w:r>
    </w:p>
    <w:p>
      <w:r>
        <w:t>дополнить пунктом 8 следующего содержания: "8) в информационно-телекоммуникационной сети "Интернет"."</w:t>
      </w:r>
    </w:p>
    <w:p>
      <w:r>
        <w:rPr>
          <w:b/>
        </w:rPr>
        <w:t>Статья 2</w:t>
      </w:r>
    </w:p>
    <w:p>
      <w:r>
        <w:t>В подпункте "в" пункта 3 статьи 3 Федерального закона от 18 июля 2011 года № 218-ФЗ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 (Собрание законодательства Российской Федерации, 2011, № 30, ст. 4566) слова "в печатных изданиях с учетом положений пунктов 1 и 2 части 2 настоящей статьи," и слова ", а также в информационно-телекоммуникационной сети "Интернет" исключить.</w:t>
      </w:r>
    </w:p>
    <w:p>
      <w:r>
        <w:rPr>
          <w:b/>
        </w:rPr>
        <w:t>Статья 3</w:t>
      </w:r>
    </w:p>
    <w:p>
      <w:r>
        <w:t>Установить, что со дня официального опубликования настоящего Федерального закона до 31 декабря 2012 года реклама алкогольной продукции с содержанием этилового спирта пять и более процентов объема готовой продукции разрешается в печатных изданиях с учетом положений пунктов 1 и 2 части 2 статьи 21 Федерального закона от 13 марта 2006 года № 38-ФЗ "О рекламе".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