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2006, № 30, ст. 3290; 2010, № 30, ст. 4014; 2011, № 48, ст. 6733) изменение, дополнив его статьей 241 следующего содержания: "Статья 241. Обеспечение безопасности полетов гражданских воздушных судов 1. Реализация государственной системы управления безопасностью полетов гражданских воздушных судов обеспечивается в Российской Федерации в соответствии с международными стандартами Международной организации гражданской авиации.</w:t>
      </w:r>
    </w:p>
    <w:p>
      <w:r>
        <w:rPr>
          <w:b/>
        </w:rPr>
        <w:t xml:space="preserve">2. </w:t>
      </w:r>
      <w:r>
        <w:t>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порядок разработки и применения систем управления безопасностью полетов воздушных судов юридическими лицами - разработчиками и изготовителями гражданских воздушных судов, юридическими лицами и индивидуальными предпринимателями, осуществляющими коммерческие воздушные перевозки, юридическими лицами, осуществляющими техническое обслуживание гражданских воздушных судов, аэронавигационное обслуживание полетов воздушных судов, образовательными учреждениями, осуществляющими подготовку пилотов гражданских воздушных судов, в отношении воздушных судов, разработка, производство, эксплуатация или обслуживание которых осуществляется указанными юридическими лицами, индивидуальными предпринимателями, образовательными учреждениями</w:t>
      </w:r>
    </w:p>
    <w:p>
      <w:r>
        <w:rPr>
          <w:b/>
        </w:rPr>
        <w:t xml:space="preserve">3. </w:t>
      </w:r>
      <w:r>
        <w:t>В целях управления безопасностью полетов гражданских воздушных судов уполномоченный орган в области гражданской авиации в порядке, установленном Правительством Российской Федерации, осуществляет сбор и анализ данных о факторах опасности и риска, создающих угрозу безопасности полетов гражданских воздушных судов, хранение этих данных и обмен ими в соответствии с международными стандартами Международной организации гражданской авиации."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двухсот семидесяти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