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некоторых мерах государственной поддержки отдельных категорий производителей моторных транспортных средств, их узлов и агрегатов</w:t>
      </w:r>
    </w:p>
    <w:p>
      <w:r>
        <w:rPr>
          <w:b/>
        </w:rPr>
        <w:t>Статья 1</w:t>
      </w:r>
    </w:p>
    <w:p>
      <w:r>
        <w:t>Российским юридическим лицам, осуществляющим на территории Российской Федерации производство моторных транспортных средств, классифицируемых в товарных позициях 8701-8705 единой Товарной номенклатуры внешнеэкономической деятельности Таможенного союза (далее - моторные транспортные средства), их узлов и агрегатов с использованием товаров, ввезенных на таможенную территорию Таможенного союза, предназначенных для производства моторных транспортных средств, их узлов и агрегатов и классифицируемых кодами единой Товарной номенклатуры внешнеэкономической деятельности Таможенного союза, соответствующими позициям, касающимся промышленной сборки моторных транспортных средств, их узлов и агрегатов, устанавливаются меры государственной поддержки в целях</w:t>
      </w:r>
    </w:p>
    <w:p>
      <w:r>
        <w:t>возмещения затрат, возникающих с 1 июля 2018 года в случае повышения применявшихся на день официального опубликования настоящего Федерального закона ставок ввозных таможенных пошлин по кодам, соответствующим позициям, касающимся промышленной сборки моторных транспортных средств, их узлов и агрегатов, или исключения из единой Товарной номенклатуры внешнеэкономической деятельности Таможенного союза кодов, соответствующих позициям, касающимся промышленной сборки моторных транспортных средств, их узлов и агрегатов</w:t>
      </w:r>
    </w:p>
    <w:p>
      <w:r>
        <w:t>неухудшения условий реализации инвестиционных проектов, реализуемых производителями моторных транспортных средств, их узлов и агрегатов с использованием промышленной сборки, в случае, если до 1 февраля 2014 года вступят в силу федеральные законы и (или) иные нормативные правовые акты Российской Федерации, вводящие обязательные платежи в федеральный бюджет (за исключением налоговых платежей), увеличивающие их размер или изменяющие порядок их уплаты в федеральный бюджет либо отменяющие льготы, связанные с указанными платежами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Государственная поддержка юридических лиц, указанных в статье 1 настоящего Федерального закона, осуществляется в форме субсидий, предоставляемых из федерального бюджета, а также в иных формах, предусмотренных законодательством Российской Федерации</w:t>
      </w:r>
    </w:p>
    <w:p>
      <w:r>
        <w:rPr>
          <w:b/>
        </w:rPr>
        <w:t xml:space="preserve">2. </w:t>
      </w:r>
      <w:r>
        <w:t>Правила предоставления предусмотренных частью 1 настоящей статьи субсидий, а также оказания государственной поддержки в иных формах устанавливаются Правительством Российской Федерации в соответствии с законодательством Российской Федерации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Положения пункта 1 статьи 1 настоящего Федерального закона применяются при составлении и исполнении федерального бюджета на 2018, 2019 и 2020 годы</w:t>
      </w:r>
    </w:p>
    <w:p>
      <w:r>
        <w:rPr>
          <w:b/>
        </w:rPr>
        <w:t xml:space="preserve">2. </w:t>
      </w:r>
      <w:r>
        <w:t>Положения пункта 2 статьи 1 настоящего Федерального закона применяются при составлении и исполнении федерального бюджета в период с 2014 года до 2020 года включительно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