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абзаца четвертого пункта 2 статьи 179 Бюджетного кодекса Российской Федерации</w:t>
      </w:r>
    </w:p>
    <w:p>
      <w:r>
        <w:rPr>
          <w:b/>
        </w:rPr>
        <w:t>Статья 1</w:t>
      </w:r>
    </w:p>
    <w:p>
      <w:r>
        <w:t>Приостановить до 1 января 2015 года действие абзаца четвертого пункта 2 статьи 179 Бюджетного кодекса Российской Федерации (Собрание законодательства Российской Федерации, 1998, № 31, ст. 3823; 2007, № 18, ст. 2117; 2013, № 19, ст. 2331).</w:t>
      </w:r>
    </w:p>
    <w:p>
      <w:r>
        <w:rPr>
          <w:b/>
        </w:rPr>
        <w:t>Статья 2</w:t>
      </w:r>
    </w:p>
    <w:p>
      <w:r>
        <w:t>В 2014 году государственные (муниципальные) программы подлежат приведению в соответствие с законом (решением) о бюджете до 1 мая 2014 года.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