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 и 6 Градостроительного кодекса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 52, ст. 5498; 2007, № 31, ст. 4012; № 46, ст. 5553; 2008, № 30, ст. 3604; 2011, № 13, ст. 1688; № 30, ст. 4563, 4590; № 49, ст. 7015; 2012, № 47, ст. 6390; № 53, ст. 7614) следующие изменения: 1) статью 2 дополнить пунктом 101 следующего содержания: "101) единство требований к порядку осуществления взаимодействия субъектов градостроительных отношений, указанных в статье 5 настоящего Кодекса;"; 2) в статье 6: а) абзац первый изложить в следующей редакции: "1. К полномочиям органов государственной власти Российской Федерации в области градостроительной деятельности относятся:"; б) дополнить пунктом 74 следующего содержания: "74)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 в) дополнить частями 2 и 3 следующего содержания: "2.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
        <w:rPr>
          <w:b/>
        </w:rPr>
        <w:t xml:space="preserve">3. </w:t>
      </w:r>
      <w:r>
        <w:t>Установление органами, индивидуальными предпринимателями, организациями, указанными в пункте 74 части 1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
        <w:rPr>
          <w:b/>
        </w:rPr>
        <w:t>Статья 2</w:t>
      </w:r>
    </w:p>
    <w:p>
      <w:r>
        <w:t>Нормативные правовые акты субъектов Российской Федерации, муниципальные правовые акты подлежат приведению в соответствие с требованиями статьи 6 Градостроительного кодекса Российской Федерации (в редакции настоящего Федерального закона) не позднее чем в течение шести месяцев со дня утверждения Правительством Российской Федерации исчерпывающего перечня процедур в соответствующей сфере строительства.</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