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25-8 части первой Налогового кодекса Российской Федерации</w:t>
      </w:r>
    </w:p>
    <w:p>
      <w:r>
        <w:rPr>
          <w:b/>
        </w:rPr>
        <w:t>Статья 1</w:t>
      </w:r>
    </w:p>
    <w:p>
      <w:r>
        <w:t>Внести в подпункт 1 пункта 1 статьи 258 части первой Налогового кодекса Российской Федерации (Собрание законодательства Российской Федерации, 1998, № 31, ст. 3824; 2013, № 40, ст. 5037) изменение, изложив его в следующей редакции: "1)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 Республика Бурятия, Республика Саха (Якутия), Республика Тыва, Республика Хакасия, Забайкальский край, Камчатский край, Красноярский край, Приморский край, Хабаровский край, Амурская область, Иркутская область, Магаданская область, Сахалинская область, Еврейская автономная область, Чукотский автономный округ;".</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