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150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150 части второй Налогового кодекса Российской Федерации (Собрание законодательства Российской Федерации, 2000, № 32, ст. 3340; 2001, № 1, ст. 18; 2003, № 22, ст. 2066; № 28, ст. 2886; 2005, № 30, ст. 3130; № 52, ст. 5581; 2006, № 47, ст. 4819; 2007, № 49, ст. 6071; 2008, № 48, ст. 5519; 2009, № 1, ст. 22; № 26, ст. 3123; № 48, ст. 5731; 2010, № 48, ст. 6247; 2011, № 30, ст. 4583, 4593; 2012, № 50, ст. 6968; 2013, № 23, ст. 2888; № 48, ст. 6165; 2014, № 23, ст. 2936) изменение, дополнив ее подпунктом 18 следующего содержания: "18) десантно-вертолетных кораблей-доков.".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подпункта 18 статьи 150 части второй Налогового кодекса Российской Федерации (в редакции настоящего Федерального закона) распространяется на правоотношения, возникшие с 1 июля 2014 года</w:t>
      </w:r>
    </w:p>
    <w:p>
      <w:r>
        <w:rPr>
          <w:b/>
        </w:rPr>
        <w:t xml:space="preserve">3. </w:t>
      </w:r>
      <w:r>
        <w:t>Положение подпункта 18 статьи 150 части второй Налогового кодекса Российской Федерации (в редакции настоящего Федерального закона) применяется по 30 июня 2016 года включительно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