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меценатской деятельности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 в сфере меценатской деятельности</w:t>
      </w:r>
    </w:p>
    <w:p>
      <w:r>
        <w:rPr>
          <w:b/>
        </w:rPr>
        <w:t xml:space="preserve">2. </w:t>
      </w:r>
      <w:r>
        <w:t>Настоящим Федеральным законом устанавливаются</w:t>
      </w:r>
    </w:p>
    <w:p>
      <w:r>
        <w:rPr>
          <w:b/>
        </w:rPr>
        <w:t xml:space="preserve">2. </w:t>
      </w:r>
      <w:r>
        <w:t>права и обязанности меценатов, права и обязанности получателей меценатской поддержки</w:t>
      </w:r>
    </w:p>
    <w:p>
      <w:r>
        <w:rPr>
          <w:b/>
        </w:rPr>
        <w:t xml:space="preserve">2. </w:t>
      </w:r>
      <w:r>
        <w:t>права органов государственной власти, органов местного самоуправления в сфере меценатской деятельности</w:t>
      </w:r>
    </w:p>
    <w:p>
      <w:r>
        <w:rPr>
          <w:b/>
        </w:rPr>
        <w:t xml:space="preserve">2. </w:t>
      </w:r>
      <w:r>
        <w:t>государственные гарантии стимулирования меценатской деятельности</w:t>
      </w:r>
    </w:p>
    <w:p>
      <w:r>
        <w:rPr>
          <w:b/>
        </w:rPr>
        <w:t>Статья 2. Правовое регулирование отношений в сфере меценатской деятельности</w:t>
      </w:r>
    </w:p>
    <w:p>
      <w:r>
        <w:t>Правовое регулирование отношений в сфере меценатской деятельности осуществляется на основе Конституции Российской Федерации, Гражданского кодекса Российской Федерации, Закона Российской Федерации от 9 октября 1992 года № 3612-I "Основы законодательства Российской Федерации о культуре", настоящего Федерального закона, других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нормативных правовых актов органов местного самоуправления.</w:t>
      </w:r>
    </w:p>
    <w:p>
      <w:r>
        <w:rPr>
          <w:b/>
        </w:rPr>
        <w:t>Статья 3. Цель и задачи меценатской деятельности</w:t>
      </w:r>
    </w:p>
    <w:p>
      <w:r>
        <w:rPr>
          <w:b/>
        </w:rPr>
        <w:t xml:space="preserve">1. </w:t>
      </w:r>
      <w:r>
        <w:t>Целью меценатской деятельности является поддержка сохранения культурных ценностей и развития деятельности в сфере культуры и образования в области культуры и искусства</w:t>
      </w:r>
    </w:p>
    <w:p>
      <w:r>
        <w:rPr>
          <w:b/>
        </w:rPr>
        <w:t xml:space="preserve">2. </w:t>
      </w:r>
      <w:r>
        <w:t>Задачами меценатской деятельности являются</w:t>
      </w:r>
    </w:p>
    <w:p>
      <w:r>
        <w:rPr>
          <w:b/>
        </w:rPr>
        <w:t xml:space="preserve">2. </w:t>
      </w:r>
      <w:r>
        <w:t>содействие формированию условий для сохранения культурных ценностей и развития деятельности в сфере культуры и образования в области культуры и искусства</w:t>
      </w:r>
    </w:p>
    <w:p>
      <w:r>
        <w:rPr>
          <w:b/>
        </w:rPr>
        <w:t xml:space="preserve">2. </w:t>
      </w:r>
      <w:r>
        <w:t>реализация приоритетных программ сохранения культурных ценностей и развития деятельности в сфере культуры и образования в области культуры и искусства и проектов таких программ</w:t>
      </w:r>
    </w:p>
    <w:p>
      <w:r>
        <w:rPr>
          <w:b/>
        </w:rPr>
        <w:t xml:space="preserve">2. </w:t>
      </w:r>
      <w:r>
        <w:t>поддержка государственных, муниципальных, негосударственных некоммерческих организаций культуры и образовательных организаций, реализующих образовательные программы в области культуры и искусства</w:t>
      </w:r>
    </w:p>
    <w:p>
      <w:r>
        <w:rPr>
          <w:b/>
        </w:rPr>
        <w:t>Статья 4. Основные понятия, используемые в настоящем Федеральном законе</w:t>
      </w:r>
    </w:p>
    <w:p>
      <w:r>
        <w:t>В настоящем Федеральном законе используются следующие основные понятия</w:t>
      </w:r>
    </w:p>
    <w:p>
      <w:r>
        <w:t>меценатская деятельность - деятельность по безвозмездной передаче имущества, в том числе денежных средств, или прав владения, пользования, распоряжения имуществом и (или) безвозмездные выполнение работ и оказание услуг в сфере культуры и образования в области культуры и искусства, направленные на сохранение культурных ценностей и развитие деятельности в сфере культуры и образования в области культуры и искусства</w:t>
      </w:r>
    </w:p>
    <w:p>
      <w:r>
        <w:t>меценат - физическое или юридическое лицо, безвозмездно передающее свое имущество, в том числе денежные средства, или права владения, пользования, распоряжения своим имуществом и (или) безвозмездно выполняющее работы и оказывающее услуги в сфере культуры и образования в области культуры и искусства для сохранения культурных ценностей и развития деятельности в сфере культуры и образования в области культуры и искусства в формах, определенных законодательством Российской Федерации</w:t>
      </w:r>
    </w:p>
    <w:p>
      <w:r>
        <w:t>меценатская поддержка - имущество, в том числе денежные средства, или права владения, пользования, распоряжения имуществом, безвозмездно переданные меценатом получателю меценатской поддержки, и (или) работы и услуги в сфере культуры и образования, соответственно безвозмездно выполненные и оказанные меценатом</w:t>
      </w:r>
    </w:p>
    <w:p>
      <w:r>
        <w:t>получатели меценатской поддержки - государственные, муниципальные, негосударственные некоммерческие организации культуры, образовательные организации, реализующие образовательные программы в области культуры и искусства</w:t>
      </w:r>
    </w:p>
    <w:p>
      <w:r>
        <w:rPr>
          <w:b/>
        </w:rPr>
        <w:t>Статья 5. Целевой характер меценатской деятельности</w:t>
      </w:r>
    </w:p>
    <w:p>
      <w:r>
        <w:rPr>
          <w:b/>
        </w:rPr>
        <w:t xml:space="preserve">1. </w:t>
      </w:r>
      <w:r>
        <w:t>Меценат самостоятельно определяет получателей меценатской поддержки, цели, направления, форму и содержание меценатской деятельности</w:t>
      </w:r>
    </w:p>
    <w:p>
      <w:r>
        <w:rPr>
          <w:b/>
        </w:rPr>
        <w:t xml:space="preserve">2. </w:t>
      </w:r>
      <w:r>
        <w:t>Органы государственной власти, органы местного самоуправления не могут препятствовать меценату осуществлять меценатскую деятельность и не вправе влиять на решение мецената в определении получателя меценатской поддержки, целей, направлений, формы и содержания меценатской деятельности</w:t>
      </w:r>
    </w:p>
    <w:p>
      <w:r>
        <w:rPr>
          <w:b/>
        </w:rPr>
        <w:t xml:space="preserve">3. </w:t>
      </w:r>
      <w:r>
        <w:t>Получателями меценатской поддержки не могут быть органы государственной власти и органы местного самоуправления</w:t>
      </w:r>
    </w:p>
    <w:p>
      <w:r>
        <w:rPr>
          <w:b/>
        </w:rPr>
        <w:t xml:space="preserve">4. </w:t>
      </w:r>
      <w:r>
        <w:t>Получатель меценатской поддержки вправе использовать полученную меценатскую поддержку только на сохранение культурных ценностей и (или) развитие деятельности в сфере культуры и образования в области культуры и искусства</w:t>
      </w:r>
    </w:p>
    <w:p>
      <w:r>
        <w:rPr>
          <w:b/>
        </w:rPr>
        <w:t>Статья 6. Порядок оформления договора между меценатом и получателем меценатской поддержки</w:t>
      </w:r>
    </w:p>
    <w:p>
      <w:r>
        <w:rPr>
          <w:b/>
        </w:rPr>
        <w:t xml:space="preserve">1. </w:t>
      </w:r>
      <w:r>
        <w:t>Меценатская деятельность осуществляется на основании договора соответствующего вида, заключенного между меценатом и получателем меценатской поддержки</w:t>
      </w:r>
    </w:p>
    <w:p>
      <w:r>
        <w:rPr>
          <w:b/>
        </w:rPr>
        <w:t xml:space="preserve">2. </w:t>
      </w:r>
      <w:r>
        <w:t>Договором между меценатом и получателем меценатской поддержки определяются цели, направления, форма и содержание меценатской деятельности</w:t>
      </w:r>
    </w:p>
    <w:p>
      <w:r>
        <w:rPr>
          <w:b/>
        </w:rPr>
        <w:t xml:space="preserve">3. </w:t>
      </w:r>
      <w:r>
        <w:t>Права и обязанности мецената и получателя меценатской поддержки возникают с момента заключения договора, если иное не установлено данным договором, и в случаях, установленных законодательством Российской Федерации, с момента государственной регистрации данного договора</w:t>
      </w:r>
    </w:p>
    <w:p>
      <w:r>
        <w:rPr>
          <w:b/>
        </w:rPr>
        <w:t>Статья 7. Права органов государственной власти субъектов Российской Федерации, органов местного самоуправления в сфере меценатской деятельности</w:t>
      </w:r>
    </w:p>
    <w:p>
      <w:r>
        <w:t>Органы государственной власти субъектов Российской Федерации, органы местного самоуправления в сфере меценатской деятельности имеют право</w:t>
      </w:r>
    </w:p>
    <w:p>
      <w:r>
        <w:t>осуществлять меры экономической поддержки меценатов и получателей меценатской поддержки</w:t>
      </w:r>
    </w:p>
    <w:p>
      <w:r>
        <w:t>присуждать меценатам награды и почетные звания, установленные нормативными правовыми актами субъектов Российской Федерации и нормативными правовыми актами органов местного самоуправления</w:t>
      </w:r>
    </w:p>
    <w:p>
      <w:r>
        <w:t>устанавливать на зданиях, сооружениях, принадлежащих получателям меценатской поддержки, и на соответствующих территориях информационные надписи и обозначения, содержащие имена меценатов</w:t>
      </w:r>
    </w:p>
    <w:p>
      <w:r>
        <w:t>принимать меры, способствующие формированию положительного отношения к меценатам, осуществляющим свою деятельность на территориях субъектов Российской Федерации, территориях муниципальных образований</w:t>
      </w:r>
    </w:p>
    <w:p>
      <w:r>
        <w:rPr>
          <w:b/>
        </w:rPr>
        <w:t>Статья 8. Государственные гарантии и иные меры стимулирования меценатской деятельности</w:t>
      </w:r>
    </w:p>
    <w:p>
      <w:r>
        <w:rPr>
          <w:b/>
        </w:rPr>
        <w:t xml:space="preserve">1. </w:t>
      </w:r>
      <w:r>
        <w:t>Государственными гарантиями стимулирования меценатской деятельности являются осуществление мер экономической поддержки меценатов и получателей меценатской поддержки в соответствии с законодательством Российской Федерации, установление и присуждение меценатам наград и почетных званий</w:t>
      </w:r>
    </w:p>
    <w:p>
      <w:r>
        <w:rPr>
          <w:b/>
        </w:rPr>
        <w:t xml:space="preserve">2. </w:t>
      </w:r>
      <w:r>
        <w:t>Федеральные органы исполнительной власти, исполнительные органы государственной власти субъектов Российской Федерации, органы местного самоуправления обязаны предоставлять меценатам, а также нуждающимся в получении меценатской поддержки государственным, муниципальным, негосударственным некоммерческим организациям культуры и образовательным организациям, реализующим образовательные программы в области культуры и искусства, информацию о состоянии культурных ценностей и развитии деятельности в сфере культуры и образования в области культуры и искусства в соответствии со статьей 362 Закона Российской Федерации от 9 октября 1992 года № 3612-I "Основы законодательства Российской Федерации о культуре"</w:t>
      </w:r>
    </w:p>
    <w:p>
      <w:r>
        <w:rPr>
          <w:b/>
        </w:rPr>
        <w:t>Статья 9. Гарантии, предоставляемые получателям меценатской поддержки</w:t>
      </w:r>
    </w:p>
    <w:p>
      <w:r>
        <w:rPr>
          <w:b/>
        </w:rPr>
        <w:t xml:space="preserve">1. </w:t>
      </w:r>
      <w:r>
        <w:t>Меценатская поддержка не является основанием для сокращения бюджетного финансирования деятельности получателей меценатской поддержки, осуществляемого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Получатели меценатской поддержки имеют право на</w:t>
      </w:r>
    </w:p>
    <w:p>
      <w:r>
        <w:rPr>
          <w:b/>
        </w:rPr>
        <w:t xml:space="preserve">2. </w:t>
      </w:r>
      <w:r>
        <w:t>установление и присуждение меценатам наград и почетных званий</w:t>
      </w:r>
    </w:p>
    <w:p>
      <w:r>
        <w:rPr>
          <w:b/>
        </w:rPr>
        <w:t xml:space="preserve">2. </w:t>
      </w:r>
      <w:r>
        <w:t>установление информационных надписей и обозначений, содержащих имена меценатов, на зданиях, сооружениях, принадлежащих получателям меценатской поддержки, и на соответствующих территориях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