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50 и 56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5795) следующие изменения</w:t>
      </w:r>
    </w:p>
    <w:p>
      <w:r>
        <w:t>абзац двадцать седьмой статьи 50 признать утратившим силу</w:t>
      </w:r>
    </w:p>
    <w:p>
      <w:r>
        <w:t>в абзаце пятом пункта 2 статьи 56 слова "50 процентов" заменить словами "100 процентов"</w:t>
      </w:r>
    </w:p>
    <w:p>
      <w:r>
        <w:rPr>
          <w:b/>
        </w:rPr>
        <w:t>Статья 2</w:t>
      </w:r>
    </w:p>
    <w:p>
      <w:r>
        <w:t>Подпункт "в" пункта 3 статьи 1 Федерального закона от 3 декабря 2012 года № 244-ФЗ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2012, № 50, ст. 6967)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