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w:t>
      </w:r>
    </w:p>
    <w:p>
      <w:r>
        <w:rPr>
          <w:b/>
        </w:rPr>
        <w:t>Статья 1</w:t>
      </w:r>
    </w:p>
    <w:p>
      <w:r>
        <w:t>Внести в Кодекс торгового мореплавания Российской Федерации (Собрание законодательства Российской Федерации, 1999, № 18, ст. 2207; 2005, № 52, ст. 5581; 2007, № 46, ст. 5557; 2011, № 25, ст. 3534; № 45, ст. 6335; 2012, № 18, ст. 2128) следующие изменения</w:t>
      </w:r>
    </w:p>
    <w:p>
      <w:r>
        <w:t>пункт 7 статьи 33 дополнить подпунктами 5 - 7 следующего содержания: "5) суда, используемые для целей, предусмотренных статьей 2 настоящего Кодекса (за исключением судов рыбопромыслового флота), и принадлежащие на праве собственности гражданам Российской Федерации или российским юридическим лицам,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r>
        <w:t>суда, которые используются для целей, предусмотренных статьей 2 настоящего Кодекса (за исключением судов рыбопромыслового флота), возраст которых на дату подачи заявления о государственной регистрации не превышает двадцать пять лет, которые зарегистрированы в реестрах судов иностранных государств и зафрахтованы по договорам фрахтования судна без экипажа (бербоут-чартеру) юридическими лицами, зарегистрированными в свободных экономических зонах, созданных в соответствии с законодательством Российской Федерации,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r>
        <w:t>суда, используемые для регулярных перевозок грузов, пассажиров и их багажа и буксировки в каботаже (при условии, что продолжительность рейса между заходами в морские порты составляет не более двадцати четырех часов), принадлежащие на праве собственности гражданам Российской Федерации, юридическим лицам, зарегистрированным в соответствии с законодательством Российской Федерации, Российской Федерации, субъектам Российской Федерации или зафрахтованные ими по договорам фрахтования судна без экипажа (бербоут-чартеру)."</w:t>
      </w:r>
    </w:p>
    <w:p>
      <w:r>
        <w:t>пункт 2 статьи 37 дополнить абзацем следующего содержания: "В случае, если по истечении тридцати календарных дней не получен ответ от национальной морской администрации государства предыдущей регистрации на обращение собственника судна, он вправе обратиться в орган государственной регистрации судна с заявлением о государственной регистрации такого судна в одном из реестров судов. В этом случае к заявлению о государственной регистрации такого судна прилагается документ, подтверждающий факт обращения собственника такого судна в национальную морскую администрацию государства предыдущей регистрации с просьбой об исключении такого судна из реестра судов иностранного государства. По результатам государственной регистрации такого судна орган государственной регистрации направляет уведомление о зарегистрированном судне в национальную морскую администрацию государства предыдущей регистрации."</w:t>
      </w:r>
    </w:p>
    <w:p>
      <w:r>
        <w:rPr>
          <w:b/>
        </w:rPr>
        <w:t>Статья 2</w:t>
      </w:r>
    </w:p>
    <w:p>
      <w:r>
        <w:t>Статью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2013, № 27, ст. 3477; № 49, ст. 6352; 2014, № 26, ст. 3394; № 30, ст. 4217) дополнить пунктом 14 следующего содержания: "14. В 2015 году и последующие годы для юридических лиц и индивидуальных предпринимателей, получивших статус участника свободной экономической зоны в соответствии с Федеральным законом "О развитии Крымского федерального округа и свободной экономической зоне на территориях Республики Крым и города федерального значения Севастополя", в порядке и в случаях, которые предусмотрены статьей 584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применяется тариф страховых взносов 6,0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основе данных индивидуального (персонифицированного) учета в соответствии с выбранным застрахованным лицом вариантом пенсионного обеспечения (0,0 процента или 6,0 процента на финансирование накопительной пенсии) по следующим тарифам страховых взносов: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пенсии вариант пенсионного обеспечения 6,0 процента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 рование накопительной пенсии 6,0 процента на финансирование страховой пенсии, из них6,0 процента - индивидуальная часть тарифа страховых взносов 6,0 процента, из них 6,0 процента - индивидуальная часть тарифа страховых взносов 0,0 процента - индивидуальная часть тарифа страховых взносов 0,0 процента, из них 0,0 процента - индивидуальная часть тарифа страховых взносов 6,0 процента - индивидуальная часть тарифа страховых взносов.".</w:t>
      </w:r>
    </w:p>
    <w:p>
      <w:r>
        <w:rPr>
          <w:b/>
        </w:rPr>
        <w:t>Статья 3</w:t>
      </w:r>
    </w:p>
    <w:p>
      <w:r>
        <w:t>Пункт 1 статьи 132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2010, № 21, ст. 2524; № 52, ст. 7000; 2011, № 13, ст. 1689; № 27, ст. 3880; № 49, ст. 7043, 7061; 2012, № 53, ст. 7645; 2013, № 19, ст. 2309; № 27, ст. 3477; № 30, ст. 4036, 4081; 2014, № 19, ст. 2311; № 26, ст. 3370) дополнить подпунктом 21 следующего содержания: "21) в размере не менее одного миллиона рублей из расчета за один год (365 календарных дней)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
        <w:rPr>
          <w:b/>
        </w:rPr>
        <w:t>Статья 4</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дополнить пунктом 32 следующего содержания: "32) государственный контроль (надзор) в свободной экономической зоне.".</w:t>
      </w:r>
    </w:p>
    <w:p>
      <w:r>
        <w:rPr>
          <w:b/>
        </w:rPr>
        <w:t>Статья 5</w:t>
      </w:r>
    </w:p>
    <w:p>
      <w:r>
        <w:t>(Утратила силу - Федеральный закон от 03.07.2016 № 250-ФЗ)</w:t>
      </w:r>
    </w:p>
    <w:p>
      <w:r>
        <w:rPr>
          <w:b/>
        </w:rPr>
        <w:t>Статья 6</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