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части второй статьи 43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 в связи с Федеральным законом "О федеральном бюджете на 2015 год и на плановый период 2016 и 2017 годов"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Приостановить до 1 января 2016 года действие части второй статьи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 (Ведомости Съезда народных депутатов Российской Федерации и Верховного Совета Российской Федерации, 1993, № 9, ст. 328; Собрание законодательства Российской Федерации, 1995, № 49, ст. 4693; 1998, № 30, ст. 3613; 2002, № 27, ст. 2620; № 30, ст. 3033; 2003, № 27, ст. 2700; 2007, № 49, ст. 6072; 2011, № 46, ст. 6407). (В редакции Федерального закона от 29.06.2015 № 173-ФЗ)</w:t>
      </w:r>
    </w:p>
    <w:p>
      <w:r>
        <w:rPr>
          <w:b/>
        </w:rPr>
        <w:t xml:space="preserve">2. </w:t>
      </w:r>
      <w:r>
        <w:t>Установить, что размер денежного довольствия, учитываемого при исчислении пенсии в соответствии со статьей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семей", с 1 января 2015 года составляет 62,12 процента, с 1 октября 2015 года - 66,78 процента от размера указанного денежного довольствия. (Часть введена - Федеральный закон от 29.06.2015 № 173-ФЗ)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