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области средств массовой информации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правового регулирования отношений в области средств массовой информации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2. Особенности правового регулирования отношений в области средств массовой информации на территориях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Регистрация средств массовой информации, продукция которых предназначена для распространения на территориях субъектов Российской Федерации - Республики Крым и города федерального значения Севастополя, предоставление лицензий на телевизионное вещание, радиовещание на территориях Республики Крым и города федерального значения Севастополя до 1 апреля 2015 года осуществляются без взимания платы</w:t>
      </w:r>
    </w:p>
    <w:p>
      <w:r>
        <w:rPr>
          <w:b/>
        </w:rPr>
        <w:t xml:space="preserve">2. </w:t>
      </w:r>
      <w:r>
        <w:t>Распространение продукции средств массовой информации, включая осуществление телевизионного вещания, радиовещания, на территориях Республики Крым и города федерального значения Севастополя на основании документов, выданных государственными органами Украины, допускается до 1 апреля 2015 года</w:t>
      </w:r>
    </w:p>
    <w:p>
      <w:r>
        <w:rPr>
          <w:b/>
        </w:rPr>
        <w:t xml:space="preserve">3. </w:t>
      </w:r>
      <w:r>
        <w:t>По вопросам правового регулирования отношений в области средств массовой информации, в том числе осуществления телевизионного вещания, радиовещания,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могут издаваться постановления Правительства Российской Федерации</w:t>
      </w:r>
    </w:p>
    <w:p>
      <w:r>
        <w:rPr>
          <w:b/>
        </w:rPr>
        <w:t>Статья 3.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