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особенностях оборота оружия в Республике Крым и городе федерального значения Севастополе</w:t>
      </w:r>
    </w:p>
    <w:p>
      <w:r>
        <w:rPr>
          <w:b/>
        </w:rPr>
        <w:t>Статья 1. Предмет регулирования настоящего Федерального закона</w:t>
      </w:r>
    </w:p>
    <w:p>
      <w:r>
        <w:t>Настоящий Федеральный закон определяет особенности оборота оружия, не зарегистрированного в соответствии с законодательством Российской Федерации и находящегося в собственности граждан Российской Федерации, постоянно проживающих на территориях Республики Крым и города федерального значения Севастополя (далее - граждане Российской Федерации), иностранных граждан и лиц без гражданства, законно находящихся на территориях Республики Крым и города федерального значения Севастополя (далее - иностранные граждане и лица без гражданства), а также оружия, находящегося в собственности юридических лиц, зарегистрированных на территориях этих субъектов Российской Федерации.</w:t>
      </w:r>
    </w:p>
    <w:p>
      <w:r>
        <w:rPr>
          <w:b/>
        </w:rPr>
        <w:t>Статья 2. Особенности оборота оружия на территориях Республики Крым и города федерального значения Севастополя</w:t>
      </w:r>
    </w:p>
    <w:p>
      <w:r>
        <w:rPr>
          <w:b/>
        </w:rPr>
        <w:t xml:space="preserve">1. </w:t>
      </w:r>
      <w:r>
        <w:t>Хранение находящихся в собственности граждан Российской Федерации оружия и патронов к нему может осуществляться на основании выданных органами внутренних дел Украины до 18 марта 2014 года разрешений на хранение и ношение оружия либо устройств до истечения срока действия этих разрешений, за исключением случаев, установленных настоящей статьей</w:t>
      </w:r>
    </w:p>
    <w:p>
      <w:r>
        <w:rPr>
          <w:b/>
        </w:rPr>
        <w:t xml:space="preserve">2. </w:t>
      </w:r>
      <w:r>
        <w:t>Хранение находящихся в собственности граждан Российской Федерации гражданского огнестрельного длинноствольного оружия с нарезным стволом и патронов к нему может осуществляться на основании разрешений, указанных в части 1 настоящей статьи, после проведения контрольного отстрела из такого оружия в порядке, установленном законодательством Российской Федерации</w:t>
      </w:r>
    </w:p>
    <w:p>
      <w:r>
        <w:rPr>
          <w:b/>
        </w:rPr>
        <w:t xml:space="preserve">3. </w:t>
      </w:r>
      <w:r>
        <w:t>Хранение находящегося в собственности граждан Российской Федерации гражданского оружия в количестве, превышающем установленное законодательством Российской Федерации количество оружия, которое имеет право приобретать в собственность гражданин Российской Федерации, может осуществляться после получения лицензии на коллекционирование оружия в соответствии с законодательством Российской Федерации</w:t>
      </w:r>
    </w:p>
    <w:p>
      <w:r>
        <w:rPr>
          <w:b/>
        </w:rPr>
        <w:t xml:space="preserve">4. </w:t>
      </w:r>
      <w:r>
        <w:t>Хранение находящихся в собственности граждан Российской Федерации гражданского оружия и патронов к нему, сведения о которых отсутствуют в Государственном кадастре гражданского и служебного оружия и патронов к нему либо в Едином реестре выданных сертификатов соответствия и зарегистрированных деклараций о соответствии, может осуществляться на основании разрешений, указанных в части 1 настоящей статьи, после обязательного подтверждения соответствия таких оружия и патронов к нему в порядке, установленном законодательством Российской Федерации</w:t>
      </w:r>
    </w:p>
    <w:p>
      <w:r>
        <w:rPr>
          <w:b/>
        </w:rPr>
        <w:t xml:space="preserve">5. </w:t>
      </w:r>
      <w:r>
        <w:t>Хранение либо хранение и ношение находящегося в собственности граждан Российской Федерации гражданского оружия могут осуществляться на основании разрешений, указанных в части 1 настоящей статьи, а также выданных в соответствии с законодательством Российской Федерации охотничьих билетов или документов, подтверждающих занятие видами спорта, связанными с использованием огнестрельного оружия</w:t>
      </w:r>
    </w:p>
    <w:p>
      <w:r>
        <w:rPr>
          <w:b/>
        </w:rPr>
        <w:t xml:space="preserve">6. </w:t>
      </w:r>
      <w:r>
        <w:t>Хранение и ношение находящихся в собственности граждан Российской Федерации наградного оружия и патронов к нему, полученных в соответствии с решениями государственных органов Украины, осуществляются на основании разрешений на хранение и ношение оружия, выданных органами внутренних дел Российской Федерации по решению Правительства Российской Федерации, принятому по ходатайствам высших должностных лиц (руководителей высших исполнительных органов государственной власти) Республики Крым и города федерального значения Севастополя</w:t>
      </w:r>
    </w:p>
    <w:p>
      <w:r>
        <w:rPr>
          <w:b/>
        </w:rPr>
        <w:t xml:space="preserve">7. </w:t>
      </w:r>
      <w:r>
        <w:t>Оружие и патроны к нему, находящиеся в собственности иностранных граждан и лиц без гражданства на основании разрешений, указанных в части 1 настоящей статьи, не позднее тридцати дней со дня вступления в силу настоящего Федерального закона подлежат вывозу указанными гражданами и лицами из Российской Федерации либо добровольной сдаче в органы внутренних дел Российской Федерации на возмездной основе. В противном случае такие оружие и патроны к нему подлежат изъятию в порядке, установленном законодательством Российской Федерации</w:t>
      </w:r>
    </w:p>
    <w:p>
      <w:r>
        <w:rPr>
          <w:b/>
        </w:rPr>
        <w:t xml:space="preserve">8. </w:t>
      </w:r>
      <w:r>
        <w:t>Оборот находящихся в собственности юридических лиц, зарегистрированных на территориях Республики Крым и города федерального значения Севастополя, оружия и патронов к нему осуществляется в порядке, установленном законодательством Российской Федерации</w:t>
      </w:r>
    </w:p>
    <w:p>
      <w:r>
        <w:rPr>
          <w:b/>
        </w:rPr>
        <w:t xml:space="preserve">9. </w:t>
      </w:r>
      <w:r>
        <w:t>Оружие и патроны к нему, которые не могут принадлежать гражданам Российской Федерации в силу закона, должны быть добровольно сданы в органы внутренних дел Российской Федерации на возмездной основе не позднее девяноста дней со дня вступления в силу настоящего Федерального закона. В противном случае такие оружие и патроны к нему подлежат изъятию указанными органами в порядке, установленном законодательством Российской Федерации</w:t>
      </w:r>
    </w:p>
    <w:p>
      <w:r>
        <w:rPr>
          <w:b/>
        </w:rPr>
        <w:t xml:space="preserve">10. </w:t>
      </w:r>
      <w:r>
        <w:t>Возмещение стоимости оружия и патронов к нему, добровольно сданных гражданами Российской Федерации, иностранными гражданами и лицами без гражданства в органы внутренних дел Российской Федерации, осуществляется за счет бюджетных ассигнований бюджетов Республики Крым и города федерального значения Севастополя в порядке, установленном соответственно нормативными правовыми актами Республики Крым и города федерального значения Севастополя</w:t>
      </w:r>
    </w:p>
    <w:p>
      <w:r>
        <w:rPr>
          <w:b/>
        </w:rPr>
        <w:t>Статья 3. Особенности переоформления разрешений на хранение и ношение оружия, выданных органами внутренних дел Украины</w:t>
      </w:r>
    </w:p>
    <w:p>
      <w:r>
        <w:t>Для граждан Российской Федерации переоформление разрешений на хранение и ношение оружия, выданных органами внутренних дел Украины, осуществляется до 1 июля 2015 года без взимания платы.</w:t>
      </w:r>
    </w:p>
    <w:p>
      <w:r>
        <w:rPr>
          <w:b/>
        </w:rPr>
        <w:t>Статья 4. Порядок вступления в силу настоящего Федерального закона</w:t>
      </w:r>
    </w:p>
    <w:p>
      <w:r>
        <w:rPr>
          <w:b/>
        </w:rPr>
        <w:t xml:space="preserve">1. </w:t>
      </w:r>
      <w:r>
        <w:t>Настоящий Федеральный закон вступает в силу с 1 января 2015 года, за исключением положений, для которых настоящей статьей установлены иные сроки вступления их в силу</w:t>
      </w:r>
    </w:p>
    <w:p>
      <w:r>
        <w:rPr>
          <w:b/>
        </w:rPr>
        <w:t xml:space="preserve">2. </w:t>
      </w:r>
      <w:r>
        <w:t>Части 3 и 6 статьи 2 настоящего Федерального закона вступают в силу с 1 марта 2015 года</w:t>
      </w:r>
    </w:p>
    <w:p>
      <w:r>
        <w:rPr>
          <w:b/>
        </w:rPr>
        <w:t xml:space="preserve">3. </w:t>
      </w:r>
      <w:r>
        <w:t>Часть 2 статьи 2 настоящего Федерального закона вступает в силу с 1 июля 2015 года</w:t>
      </w:r>
    </w:p>
    <w:p>
      <w:r>
        <w:rPr>
          <w:b/>
        </w:rPr>
        <w:t xml:space="preserve">4. </w:t>
      </w:r>
      <w:r>
        <w:t>Часть 4 статьи 2 настоящего Федерального закона вступает в силу с 1 октября 2015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