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3 и 5 Федерального закона "О геодезии и картографии" и Федеральный закон "О государственном кадастре недвижимости"</w:t>
      </w:r>
    </w:p>
    <w:p>
      <w:r>
        <w:rPr>
          <w:b/>
        </w:rPr>
        <w:t>Статья 1</w:t>
      </w:r>
    </w:p>
    <w:p>
      <w:r>
        <w:t>(Утратила силу - Федеральный закон от 30.12.2015 № 431-ФЗ)</w:t>
      </w:r>
    </w:p>
    <w:p>
      <w:r>
        <w:rPr>
          <w:b/>
        </w:rPr>
        <w:t>Статья 2</w:t>
      </w:r>
    </w:p>
    <w:p>
      <w:r>
        <w:t>(Утратила силу - Федеральный закон от 03.07.2016 № 361-ФЗ)</w:t>
      </w:r>
    </w:p>
    <w:p>
      <w:r>
        <w:rPr>
          <w:b/>
        </w:rPr>
        <w:t>Статья 3</w:t>
      </w:r>
    </w:p>
    <w:p>
      <w:r>
        <w:t>Настоящий Федеральный закон вступает в силу по истечении девяноста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