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перечисления в 2015 году прибыли, полученной Центральным банком Российской Федерации по итогам 2014 года</w:t>
      </w:r>
    </w:p>
    <w:p>
      <w:r>
        <w:rPr>
          <w:b/>
        </w:rPr>
        <w:t>Статья 1</w:t>
      </w:r>
    </w:p>
    <w:p>
      <w:r>
        <w:t>Центральный банк Российской Федерации (Банк России) после утверждения Советом директоров Банка России годовой финансовой отчетности Банка России за 2014 год перечисляет из фактически полученной Банком России по итогам 2014 года прибыли, остающейся после уплаты налогов и сборов в соответствии с Налоговым кодексом Российской Федерации, 75 процентов в федеральный бюджет и 15 процентов государственной корпорации "Банк развития и внешнеэкономической деятельности (Внешэкономбанк)" в качестве имущественного взноса для использования в целях укрепления финансовой стабильности банковской системы в порядке, установленном Правительством Российской Федерации.</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