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седьмой подпункта 1 пункта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32) изменение, изложив его в следующей редакции: "очков корригирующих (для коррекции зрения), линз для коррекции зрения, оправ для очков корригирующих (для коррекции зрения);".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