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6692) изменение, дополнив его подпунктом 31 следующего содержания: "31) макулатуры. В целях настоящего Кодекса под макулатурой понимаются бумажные и картонные отходы производства и потребления, отбракованные и вышедшие из употребления бумага, картон, типографские изделия, деловые бумаги, в том числе документы с истекшим сроком хранения.".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подпункта 31 пункта 2 статьи 149 части второй Налогового кодекса Российской Федерации (в редакции настоящего Федерального закона) применяются по 31 декабря 2018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