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Эртильского районного суда Воронежской области и образовании постоянного судебного присутствия в составе Панинского районного суда Воронежской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Российской Федерации"</w:t>
      </w:r>
    </w:p>
    <w:p>
      <w:r>
        <w:t>упразднить Эртильский районный суд Воронежской области, передав относящиеся к его ведению вопросы осуществления правосудия в юрисдикцию Панинского районного суда Воронежской области</w:t>
      </w:r>
    </w:p>
    <w:p>
      <w:r>
        <w:t>установить, что юрисдикция Панинского районного суда Воронежской области распространяется на территории Панинского и Эртильского районов Воронежской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Панинского районного суда Воронежской области постоянное судебное присутствие в городе Эртиль Эртильского района Воронежской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