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Женевского акта Гаагского соглашения о международной регистрации промышленных образцов</w:t>
      </w:r>
    </w:p>
    <w:p>
      <w:r>
        <w:rPr>
          <w:b/>
        </w:rPr>
        <w:t>Статья 1</w:t>
      </w:r>
    </w:p>
    <w:p>
      <w:r>
        <w:t>Ратифицировать Женевский акт Гаагского соглашения о международной регистрации промышленных образцов, принятый 2 июля 1999 года и подписанный в городе Женеве 6 июля 1999 года (далее - Женевский акт), со следующими заявлениями</w:t>
      </w:r>
    </w:p>
    <w:p>
      <w:r>
        <w:t>"Российская Федерация в соответствии с пунктом 2 статьи 7 Женевского акта заявляет, что в связи с любой международной заявкой, в которой указана Российская Федерация, и в связи с продлением любой международной регистрации, осуществленной в результате подачи такой международной заявки, предписанная пошлина за указание заменяется на индивидуальные пошлины за указание Российской Федерации в качестве государства, на территории которого имеет действие международная регистрация промышленного образца"</w:t>
      </w:r>
    </w:p>
    <w:p>
      <w:r>
        <w:t>"Российская Федерация в соответствии с пунктом 1 (b) статьи 11 Женевского акта заявляет, что ее законодательство не предусматривает отсрочки публикации сведений о промышленном образце"</w:t>
      </w:r>
    </w:p>
    <w:p>
      <w:r>
        <w:t>"Российская Федерация в соответствии с пунктом 2 статьи 12 Женевского акта и пунктом 1 (b) правила 18 Инструкции к Женевскому акту заявляет, что срок для подготовки уведомления об отказе в предоставлении охраны на территории Российской Федерации составляет 12 месяцев"</w:t>
      </w:r>
    </w:p>
    <w:p>
      <w:r>
        <w:t>"Российская Федерация в соответствии с пунктом 1 статьи 13 Женевского акта заявляет, что промышленные образцы, являющиеся объектом одной и той же заявки, должны отвечать требованию единства замысла"</w:t>
      </w:r>
    </w:p>
    <w:p>
      <w:r>
        <w:t>"Российская Федерация в соответствии с пунктом 2 (а) статьи 14 Женевского акта и пунктом 1 (с) (i) правила 18 Инструкции к Женевскому акту заявляет, что действие международной регистрации на территории Российской Федерации начинается со дня направления ее ведомством в Международное бюро Всемирной организации интеллектуальной собственности уведомления о предоставлении охраны"</w:t>
      </w:r>
    </w:p>
    <w:p>
      <w:r>
        <w:t>"Российская Федерация в соответствии с пунктом 2 статьи 16 Женевского акта заявляет, что запись в Международном реестре об изменении владельца международной регистрации промышленного образца не будет иметь силы, пока ее ведомство не получит соответствующих документов о передаче права"</w:t>
      </w:r>
    </w:p>
    <w:p>
      <w:r>
        <w:t>"Российская Федерация в соответствии с пунктом 3 (с) статьи 17 Женевского акта заявляет, что срок действия исключительного права на промышленный образец составляет пять лет и может быть неоднократно продлен на пять лет по заявлению правообладателя, но в целом не более чем на двадцать пять лет, считая со дня подачи заявки на международную регистрацию"</w:t>
      </w:r>
    </w:p>
    <w:p>
      <w:r>
        <w:t>"Российская Федерация в соответствии с пунктом 4 правила 13 Инструкции к Женевскому акту заявляет о том, что срок, составляющий один месяц, необходимый для отправки материалов международной заявки, поданной через ведомство Российской Федерации, заменяется на срок, составляющий шесть месяцев, необходимый для проведения проверки на предмет соблюдения требований безопасности"</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