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1252 и 1486 части четвертой Гражданского кодекса Российской Федерации и статьи 4 и 99 Арбитражного процессуального кодекса Российской Федерации</w:t>
      </w:r>
    </w:p>
    <w:p>
      <w:r>
        <w:rPr>
          <w:b/>
        </w:rPr>
        <w:t>Статья 1</w:t>
      </w:r>
    </w:p>
    <w:p>
      <w:r>
        <w:t>Внести в часть четвертую Гражданского кодекса Российской Федерации (Собрание законодательства Российской Федерации, 2006, № 52, ст. 5496; 2011, № 50, ст. 7364; 2014, № 11, ст. 1100; 2015, № 1, ст. 83) следующие изменения</w:t>
      </w:r>
    </w:p>
    <w:p>
      <w:r>
        <w:t>статью 1252 дополнить пунктом 51 следующего содержания: "51. В случае, если правообладатель и нарушитель исключительного права являются юридическими лицами и (или) индивидуальными предпринимателями и спор подведомствен арбитражному суду, до предъявления иска о возмещении убытков или выплате компенсации обязательно предъявление правообладателем претензии. Иск о возмещении убытков или выплате компенсации может быть предъявлен в случае полного или частичного отказа удовлетворить претензию либо неполучения ответа на нее в тридцатидневный срок со дня направления претензии, если иной срок не предусмотрен договором. Не требуется предъявления правообладателем претензии до предъявления им требования, указанного в подпунктах 1, 2, 4 и 5 пункта 1 и пункте 5 настоящей статьи."</w:t>
      </w:r>
    </w:p>
    <w:p>
      <w:r>
        <w:t>пункт 1 статьи 1486 изложить в следующей редакции: "1.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вследствие неиспользования товарного знака непрерывно в течение трех лет. Заинтересованное лицо, полагающее, что правообладатель не использует товарный знак в отношении всех товаров или части товаров, для индивидуализации которых товарный знак зарегистрирован, направляет такому правообладателю предложение обратиться в федеральный орган исполнительной власти по интеллектуальной собственности с заявлением об отказе от права на товарный знак либо заключить с заинтересованным лицом договор об отчуждении исключительного права на товарный знак в отношении всех товаров или части товаров, для индивидуализации которых товарный знак зарегистрирован (далее - предложение заинтересованного лица). Предложение заинтересованного лица направляется правообладателю, а также по адресу, указанному в Государственном реестре товарных знаков или в соответствующем реестре, предусмотренном международным договором Российской Федерации. Предложение заинтересованного лица может быть направлено правообладателю не ранее чем по истечении трех лет с даты государственной регистрации товарного знака. Если в течение двух месяцев со дня направления предложения заинтересованного лица правообладатель не подаст заявление об отказе от права на товарный знак и не заключит с заинтересованным лицом договор об отчуждении исключительного права на товарный знак, заинтересованное лицо в тридцатидневный срок по истечении указанных двух месяцев вправе обратиться в суд с исковым заявлением о досрочном прекращении правовой охраны товарного знака вследствие его неиспользования. Новое предложение заинтересованного лица может быть направлено правообладателю товарного знака не ранее чем по истечении трехмесячного срока со дня направления предыдущего предложения заинтересованного лица. Решение о досрочном прекращении правовой охраны товарного знака вследствие его неиспользования принимается судом в случае неиспользования правообладателем товарного знака в отношении соответствующих товаров, для индивидуализации которых товарный знак зарегистрирован, в течение трех лет, непосредственно предшествующих дню направления правообладателю предложения заинтересованного лица. Правовая охрана товарного знака прекращается с даты вступления в законную силу решения суда."</w:t>
      </w:r>
    </w:p>
    <w:p>
      <w:r>
        <w:rPr>
          <w:b/>
        </w:rPr>
        <w:t>Статья 2</w:t>
      </w:r>
    </w:p>
    <w:p>
      <w:r>
        <w:t>Внести в Арбитражный процессуальный кодекс Российской Федерации (Собрание законодательства Российской Федерации, 2002, № 30, ст. 3012; 2009, № 29, ст. 3642; 2010, № 18, ст. 2145; 2014, № 26, ст. 3392; 2016, № 1, ст. 29; № 10, ст. 1321; № 26, ст. 3889) следующие изменения</w:t>
      </w:r>
    </w:p>
    <w:p>
      <w:r>
        <w:t>часть 5 статьи 4 изложить в следующей редакции: "5.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 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 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 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r>
    </w:p>
    <w:p>
      <w:r>
        <w:t>в статье 99: а) часть 5 изложить в следующей редакции: "5. Об обеспечении имущественных интересов арбитражный суд выносит определение. В случае, если по требованию, в связи с которым подано заявление об обеспечении имущественных интересов, в силу закона обязательно соблюдение претензионного или иного досудебного порядка урегулирования спора, в определении устанавливаются срок для направления претензии (требования) другой стороне, не превышающий пятнадцати дней со дня вынесения определения, и срок для подачи искового заявления по такому требованию, не превышающий пяти дней со дня истечения установленного законом или договором срока для принятия сторонами мер по досудебному урегулированию в соответствии с частью 5 статьи 4 настоящего Кодекса. Если указанный порядок не является обязательным,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б) часть 7 изложить в следующей редакции: "7. Исковое заявление подается заявителем в арбитражный суд, который вынес определение об обеспечении имущественных интересов, или иной суд. Заявитель сообщает арбитражному суду, вынесшему определение об обеспечении имущественных интересов, о направлении претензии (требования), а также о подаче искового заявления в иной суд."; в) абзац первый части 8 изложить в следующей редакции: "8. Если заявителем не были представлены арбитражному суду, вынесшему определение об обеспечении имущественных интересов, доказательства направления претензии (требования) либо подачи искового заявления в срок, установленный в определении арбитражного суда об обеспечении имущественных интересов, обеспечение отменяется тем же арбитражным судом."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