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127. Особенности предъявления требований к перевозчикупри международных воздушных перевозках "Статья 1271. Срок рассмотрения претензии к перевозчику "Статья 128. Начало течения срока исковой давности потребованиям, связанным с утратой, недостачей или повреждением (порчей) багажа, груза и почты, а также с просрочкой их доставки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